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Miet- und Verwahrvertrag Schließfach B-417</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Kundin</w:t>
            </w:r>
          </w:p>
        </w:tc>
        <w:tc>
          <w:tcPr>
            <w:tcW w:type="dxa" w:w="7313"/>
            <w:vAlign w:val="top"/>
          </w:tcPr>
          <w:p>
            <w:pPr>
              <w:spacing w:after="20"/>
            </w:pPr>
            <w:r>
              <w:rPr>
                <w:rFonts w:ascii="Arial" w:hAnsi="Arial"/>
                <w:sz w:val="18"/>
              </w:rPr>
              <w:t>Helene Falkenberg</w:t>
            </w:r>
          </w:p>
        </w:tc>
      </w:tr>
      <w:tr>
        <w:tc>
          <w:tcPr>
            <w:tcW w:type="dxa" w:w="1928"/>
            <w:vAlign w:val="top"/>
          </w:tcPr>
          <w:p>
            <w:pPr>
              <w:spacing w:after="20"/>
            </w:pPr>
            <w:r>
              <w:rPr>
                <w:rFonts w:ascii="Arial" w:hAnsi="Arial"/>
                <w:b/>
                <w:color w:val="5C6266"/>
                <w:sz w:val="17"/>
              </w:rPr>
              <w:t>Vertragsbeginn</w:t>
            </w:r>
          </w:p>
        </w:tc>
        <w:tc>
          <w:tcPr>
            <w:tcW w:type="dxa" w:w="7313"/>
            <w:vAlign w:val="top"/>
          </w:tcPr>
          <w:p>
            <w:pPr>
              <w:spacing w:after="20"/>
            </w:pPr>
            <w:r>
              <w:rPr>
                <w:rFonts w:ascii="Arial" w:hAnsi="Arial"/>
                <w:sz w:val="18"/>
              </w:rPr>
              <w:t>01.09.2017</w:t>
            </w:r>
          </w:p>
        </w:tc>
      </w:tr>
      <w:tr>
        <w:tc>
          <w:tcPr>
            <w:tcW w:type="dxa" w:w="1928"/>
            <w:vAlign w:val="top"/>
          </w:tcPr>
          <w:p>
            <w:pPr>
              <w:spacing w:after="20"/>
            </w:pPr>
            <w:r>
              <w:rPr>
                <w:rFonts w:ascii="Arial" w:hAnsi="Arial"/>
                <w:b/>
                <w:color w:val="5C6266"/>
                <w:sz w:val="17"/>
              </w:rPr>
              <w:t>Fach</w:t>
            </w:r>
          </w:p>
        </w:tc>
        <w:tc>
          <w:tcPr>
            <w:tcW w:type="dxa" w:w="7313"/>
            <w:vAlign w:val="top"/>
          </w:tcPr>
          <w:p>
            <w:pPr>
              <w:spacing w:after="20"/>
            </w:pPr>
            <w:r>
              <w:rPr>
                <w:rFonts w:ascii="Arial" w:hAnsi="Arial"/>
                <w:sz w:val="18"/>
              </w:rPr>
              <w:t>B-417 / Größe 3</w:t>
            </w:r>
          </w:p>
        </w:tc>
      </w:tr>
      <w:tr>
        <w:tc>
          <w:tcPr>
            <w:tcW w:type="dxa" w:w="1928"/>
            <w:vAlign w:val="top"/>
          </w:tcPr>
          <w:p>
            <w:pPr>
              <w:spacing w:after="20"/>
            </w:pPr>
            <w:r>
              <w:rPr>
                <w:rFonts w:ascii="Arial" w:hAnsi="Arial"/>
                <w:b/>
                <w:color w:val="5C6266"/>
                <w:sz w:val="17"/>
              </w:rPr>
              <w:t>Jahresentgelt</w:t>
            </w:r>
          </w:p>
        </w:tc>
        <w:tc>
          <w:tcPr>
            <w:tcW w:type="dxa" w:w="7313"/>
            <w:vAlign w:val="top"/>
          </w:tcPr>
          <w:p>
            <w:pPr>
              <w:spacing w:after="20"/>
            </w:pPr>
            <w:r>
              <w:rPr>
                <w:rFonts w:ascii="Arial" w:hAnsi="Arial"/>
                <w:sz w:val="18"/>
              </w:rPr>
              <w:t>120 EUR</w:t>
            </w:r>
          </w:p>
        </w:tc>
      </w:tr>
    </w:tbl>
    <w:p>
      <w:pPr>
        <w:spacing w:after="40"/>
      </w:pPr>
    </w:p>
    <w:p>
      <w:pPr>
        <w:pStyle w:val="Heading1"/>
      </w:pPr>
      <w:r>
        <w:t>1. Nutzung</w:t>
      </w:r>
    </w:p>
    <w:p>
      <w:pPr>
        <w:widowControl/>
        <w:jc w:val="both"/>
      </w:pPr>
      <w:r>
        <w:t>Die Kundin erhält einen mechanischen Kundenschlüssel; das Fach öffnet nur gemeinsam mit dem Bankschlüssel. Zutritte werden mit Datum und Uhrzeit protokolliert. Eine Inhaltsliste führt die Bank nicht.</w:t>
      </w:r>
    </w:p>
    <w:p>
      <w:pPr>
        <w:widowControl/>
        <w:jc w:val="both"/>
      </w:pPr>
      <w:r>
        <w:t>Der Vertrag nennt eine Grundversicherung bis 30000 EUR gegen Einbruch, Feuer und Leitungswasser. Höhere Werte können gegen Nachweis gemeldet werden. Bargeld, explosionsgefährliche Gegenstände und verderbliche Sachen dürfen nicht eingelagert werden.</w:t>
      </w:r>
    </w:p>
    <w:p>
      <w:pPr>
        <w:pStyle w:val="Heading1"/>
      </w:pPr>
      <w:r>
        <w:t>2. Haftung und Mitteilungen</w:t>
      </w:r>
    </w:p>
    <w:p>
      <w:pPr>
        <w:widowControl/>
        <w:jc w:val="both"/>
      </w:pPr>
      <w:r>
        <w:t>Die Bedingungen 2017 begrenzen die Haftung bei einfacher Fahrlässigkeit auf den typischerweise vorhersehbaren Schaden, nennen aber keinen festen Höchstbetrag. Vertragsänderungen sollen in Textform angeboten werden.</w:t>
      </w:r>
    </w:p>
    <w:p>
      <w:pPr>
        <w:widowControl/>
        <w:jc w:val="both"/>
      </w:pPr>
      <w:r>
        <w:t>Als Postadresse ist die Kaiserstraße 14 in Mainz hinterlegt. Für Kontoauszüge nutzt Helene Falkenberg seit 2021 das Onlinepostfach. Eine ausdrückliche Vereinbarung, alle Schließfachmitteilungen nur dort bereitzustellen, liegt nicht in der Vertragsmappe.</w:t>
      </w:r>
    </w:p>
    <w:p/>
    <w:p>
      <w:r>
        <w:rPr>
          <w:b/>
        </w:rPr>
        <w:t>Rhein-Main Privatbank AG</w:t>
      </w:r>
    </w:p>
    <w:p>
      <w:r>
        <w:t>Filiale Mainz</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Rhein-Main Privatbank AG  |  Filiale Mainz · Schließfachanlage B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Rhein-Main Privatbank AG</w:t>
          </w:r>
          <w:r>
            <w:rPr>
              <w:rFonts w:ascii="Arial" w:hAnsi="Arial"/>
              <w:color w:val="5C6266"/>
              <w:sz w:val="17"/>
            </w:rPr>
            <w:br/>
            <w:t>Filiale Mainz · Schließfachanlage B</w:t>
          </w:r>
        </w:p>
      </w:tc>
      <w:tc>
        <w:tcPr>
          <w:tcW w:type="dxa" w:w="3742"/>
        </w:tcPr>
        <w:p>
          <w:pPr>
            <w:spacing w:after="0"/>
            <w:jc w:val="right"/>
          </w:pPr>
          <w:r>
            <w:rPr>
              <w:rFonts w:ascii="Arial" w:hAnsi="Arial"/>
              <w:color w:val="5C6266"/>
              <w:sz w:val="15"/>
            </w:rPr>
            <w:t>Große Bleiche 62 · 55116 Mainz</w:t>
            <w:br/>
            <w:t>Telefon 06131 881 0 · service@rheinmain-privatbank.de</w:t>
            <w:br/>
            <w:t>BIC RMPBDE5MXXX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