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Antwort auf Ihre Schadensaufstellung</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Kundin</w:t>
            </w:r>
          </w:p>
        </w:tc>
        <w:tc>
          <w:tcPr>
            <w:tcW w:type="dxa" w:w="7313"/>
            <w:vAlign w:val="top"/>
          </w:tcPr>
          <w:p>
            <w:pPr>
              <w:spacing w:after="20"/>
            </w:pPr>
            <w:r>
              <w:rPr>
                <w:rFonts w:ascii="Arial" w:hAnsi="Arial"/>
                <w:sz w:val="18"/>
              </w:rPr>
              <w:t>Helene Falkenberg</w:t>
            </w:r>
          </w:p>
        </w:tc>
      </w:tr>
      <w:tr>
        <w:tc>
          <w:tcPr>
            <w:tcW w:type="dxa" w:w="1928"/>
            <w:vAlign w:val="top"/>
          </w:tcPr>
          <w:p>
            <w:pPr>
              <w:spacing w:after="20"/>
            </w:pPr>
            <w:r>
              <w:rPr>
                <w:rFonts w:ascii="Arial" w:hAnsi="Arial"/>
                <w:b/>
                <w:color w:val="5C6266"/>
                <w:sz w:val="17"/>
              </w:rPr>
              <w:t>Beschwerde</w:t>
            </w:r>
          </w:p>
        </w:tc>
        <w:tc>
          <w:tcPr>
            <w:tcW w:type="dxa" w:w="7313"/>
            <w:vAlign w:val="top"/>
          </w:tcPr>
          <w:p>
            <w:pPr>
              <w:spacing w:after="20"/>
            </w:pPr>
            <w:r>
              <w:rPr>
                <w:rFonts w:ascii="Arial" w:hAnsi="Arial"/>
                <w:sz w:val="18"/>
              </w:rPr>
              <w:t>RMP-26-1188</w:t>
            </w:r>
          </w:p>
        </w:tc>
      </w:tr>
      <w:tr>
        <w:tc>
          <w:tcPr>
            <w:tcW w:type="dxa" w:w="1928"/>
            <w:vAlign w:val="top"/>
          </w:tcPr>
          <w:p>
            <w:pPr>
              <w:spacing w:after="20"/>
            </w:pPr>
            <w:r>
              <w:rPr>
                <w:rFonts w:ascii="Arial" w:hAnsi="Arial"/>
                <w:b/>
                <w:color w:val="5C6266"/>
                <w:sz w:val="17"/>
              </w:rPr>
              <w:t>Datum</w:t>
            </w:r>
          </w:p>
        </w:tc>
        <w:tc>
          <w:tcPr>
            <w:tcW w:type="dxa" w:w="7313"/>
            <w:vAlign w:val="top"/>
          </w:tcPr>
          <w:p>
            <w:pPr>
              <w:spacing w:after="20"/>
            </w:pPr>
            <w:r>
              <w:rPr>
                <w:rFonts w:ascii="Arial" w:hAnsi="Arial"/>
                <w:sz w:val="18"/>
              </w:rPr>
              <w:t>06.05.2026</w:t>
            </w:r>
          </w:p>
        </w:tc>
      </w:tr>
      <w:tr>
        <w:tc>
          <w:tcPr>
            <w:tcW w:type="dxa" w:w="1928"/>
            <w:vAlign w:val="top"/>
          </w:tcPr>
          <w:p>
            <w:pPr>
              <w:spacing w:after="20"/>
            </w:pPr>
            <w:r>
              <w:rPr>
                <w:rFonts w:ascii="Arial" w:hAnsi="Arial"/>
                <w:b/>
                <w:color w:val="5C6266"/>
                <w:sz w:val="17"/>
              </w:rPr>
              <w:t>Angebot</w:t>
            </w:r>
          </w:p>
        </w:tc>
        <w:tc>
          <w:tcPr>
            <w:tcW w:type="dxa" w:w="7313"/>
            <w:vAlign w:val="top"/>
          </w:tcPr>
          <w:p>
            <w:pPr>
              <w:spacing w:after="20"/>
            </w:pPr>
            <w:r>
              <w:rPr>
                <w:rFonts w:ascii="Arial" w:hAnsi="Arial"/>
                <w:sz w:val="18"/>
              </w:rPr>
              <w:t>5000 EUR ohne Anerkennung</w:t>
            </w:r>
          </w:p>
        </w:tc>
      </w:tr>
    </w:tbl>
    <w:p>
      <w:pPr>
        <w:spacing w:after="40"/>
      </w:pPr>
    </w:p>
    <w:p>
      <w:pPr>
        <w:pStyle w:val="Heading1"/>
      </w:pPr>
      <w:r>
        <w:t>1. Nachweise</w:t>
      </w:r>
    </w:p>
    <w:p>
      <w:pPr>
        <w:widowControl/>
        <w:jc w:val="both"/>
      </w:pPr>
      <w:r>
        <w:t>Die Kundin beziffert Schmuck und Wiederherstellungskosten mit 24680 EUR. Für den Goldreif liegt eine Rechnung aus 1998 über 6200 DM vor, für die Perlenkette eine aktuelle Schätzung von 4200 EUR. Zwei Inhaberschuldverschreibungen sind entwertet, aber noch lesbar.</w:t>
      </w:r>
    </w:p>
    <w:p>
      <w:pPr>
        <w:widowControl/>
        <w:jc w:val="both"/>
      </w:pPr>
      <w:r>
        <w:t>Die Bank erkennt den Wassereintritt und die betroffenen Gegenstände dem Grunde nach an. Für eine antike Brosche fehlt bislang ein Eigentums- oder Wertnachweis. Die Kosten der notariellen Ersatzurkunde über 680 EUR sind belegt.</w:t>
      </w:r>
    </w:p>
    <w:p>
      <w:pPr>
        <w:pStyle w:val="Heading1"/>
      </w:pPr>
      <w:r>
        <w:t>2. Vertragsstand</w:t>
      </w:r>
    </w:p>
    <w:p>
      <w:pPr>
        <w:widowControl/>
        <w:jc w:val="both"/>
      </w:pPr>
      <w:r>
        <w:t>Die Bank verweist auf die im September 2025 bereitgestellten Bedingungen und bietet 5000 EUR an. Die Kundin habe keine erhöhte Wertdeckung beantragt. Für eine weitere Prüfung bittet die Bank um Originalrechnungen, Fotos vor Einlagerung und Angaben zu einer Hausratversicherung.</w:t>
      </w:r>
    </w:p>
    <w:p>
      <w:pPr>
        <w:widowControl/>
        <w:jc w:val="both"/>
      </w:pPr>
      <w:r>
        <w:t>Das Angebot soll bis 20. Mai angenommen werden. Eine Abtretung an die Sachversicherung ist nach dem beigefügten Formular vorgesehen.</w:t>
      </w:r>
    </w:p>
    <w:p/>
    <w:p>
      <w:r>
        <w:rPr>
          <w:b/>
        </w:rPr>
        <w:t>Dr. Sven Hartwich</w:t>
      </w:r>
    </w:p>
    <w:p>
      <w:r>
        <w:t>Leiter Beschwerdemanagement</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Rhein-Main Privatbank AG  |  Beschwerdemanagement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Rhein-Main Privatbank AG</w:t>
          </w:r>
          <w:r>
            <w:rPr>
              <w:rFonts w:ascii="Arial" w:hAnsi="Arial"/>
              <w:color w:val="5C6266"/>
              <w:sz w:val="17"/>
            </w:rPr>
            <w:br/>
            <w:t>Beschwerdemanagement</w:t>
          </w:r>
        </w:p>
      </w:tc>
      <w:tc>
        <w:tcPr>
          <w:tcW w:type="dxa" w:w="3742"/>
        </w:tcPr>
        <w:p>
          <w:pPr>
            <w:spacing w:after="0"/>
            <w:jc w:val="right"/>
          </w:pPr>
          <w:r>
            <w:rPr>
              <w:rFonts w:ascii="Arial" w:hAnsi="Arial"/>
              <w:color w:val="5C6266"/>
              <w:sz w:val="15"/>
            </w:rPr>
            <w:t>Große Bleiche 62 · 55116 Mainz</w:t>
            <w:br/>
            <w:t>Telefon 06131 881 0 · service@rheinmain-privatbank.de</w:t>
            <w:br/>
            <w:t>BIC RMPBDE5MXXX</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