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Nachtrag 1 – Drainage, Boden und zweite Stufenanlage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24.03.2026</w:t>
            </w:r>
          </w:p>
        </w:tc>
      </w:tr>
      <w:tr>
        <w:tc>
          <w:tcPr>
            <w:tcW w:type="dxa" w:w="1928"/>
            <w:vAlign w:val="top"/>
          </w:tcPr>
          <w:p>
            <w:pPr>
              <w:spacing w:after="20"/>
            </w:pPr>
            <w:r>
              <w:rPr>
                <w:rFonts w:ascii="Arial" w:hAnsi="Arial"/>
                <w:b/>
                <w:color w:val="5C6266"/>
                <w:sz w:val="17"/>
              </w:rPr>
              <w:t>Bezug</w:t>
            </w:r>
          </w:p>
        </w:tc>
        <w:tc>
          <w:tcPr>
            <w:tcW w:type="dxa" w:w="7313"/>
            <w:vAlign w:val="top"/>
          </w:tcPr>
          <w:p>
            <w:pPr>
              <w:spacing w:after="20"/>
            </w:pPr>
            <w:r>
              <w:rPr>
                <w:rFonts w:ascii="Arial" w:hAnsi="Arial"/>
                <w:sz w:val="18"/>
              </w:rPr>
              <w:t>GW-26-041</w:t>
            </w:r>
          </w:p>
        </w:tc>
      </w:tr>
      <w:tr>
        <w:tc>
          <w:tcPr>
            <w:tcW w:type="dxa" w:w="1928"/>
            <w:vAlign w:val="top"/>
          </w:tcPr>
          <w:p>
            <w:pPr>
              <w:spacing w:after="20"/>
            </w:pPr>
            <w:r>
              <w:rPr>
                <w:rFonts w:ascii="Arial" w:hAnsi="Arial"/>
                <w:b/>
                <w:color w:val="5C6266"/>
                <w:sz w:val="17"/>
              </w:rPr>
              <w:t>Nachtrag brutto</w:t>
            </w:r>
          </w:p>
        </w:tc>
        <w:tc>
          <w:tcPr>
            <w:tcW w:type="dxa" w:w="7313"/>
            <w:vAlign w:val="top"/>
          </w:tcPr>
          <w:p>
            <w:pPr>
              <w:spacing w:after="20"/>
            </w:pPr>
            <w:r>
              <w:rPr>
                <w:rFonts w:ascii="Arial" w:hAnsi="Arial"/>
                <w:sz w:val="18"/>
              </w:rPr>
              <w:t>6420.05 EUR</w:t>
            </w:r>
          </w:p>
        </w:tc>
      </w:tr>
      <w:tr>
        <w:tc>
          <w:tcPr>
            <w:tcW w:type="dxa" w:w="1928"/>
            <w:vAlign w:val="top"/>
          </w:tcPr>
          <w:p>
            <w:pPr>
              <w:spacing w:after="20"/>
            </w:pPr>
            <w:r>
              <w:rPr>
                <w:rFonts w:ascii="Arial" w:hAnsi="Arial"/>
                <w:b/>
                <w:color w:val="5C6266"/>
                <w:sz w:val="17"/>
              </w:rPr>
              <w:t>Baustand</w:t>
            </w:r>
          </w:p>
        </w:tc>
        <w:tc>
          <w:tcPr>
            <w:tcW w:type="dxa" w:w="7313"/>
            <w:vAlign w:val="top"/>
          </w:tcPr>
          <w:p>
            <w:pPr>
              <w:spacing w:after="20"/>
            </w:pPr>
            <w:r>
              <w:rPr>
                <w:rFonts w:ascii="Arial" w:hAnsi="Arial"/>
                <w:sz w:val="18"/>
              </w:rPr>
              <w:t>Aushub zu 60 Prozent</w:t>
            </w:r>
          </w:p>
        </w:tc>
      </w:tr>
    </w:tbl>
    <w:p>
      <w:pPr>
        <w:spacing w:after="40"/>
      </w:pPr>
    </w:p>
    <w:p>
      <w:pPr>
        <w:pStyle w:val="Heading1"/>
      </w:pPr>
      <w:r>
        <w:t>1. Anlass</w:t>
      </w:r>
    </w:p>
    <w:p>
      <w:pPr>
        <w:widowControl/>
        <w:jc w:val="both"/>
      </w:pPr>
      <w:r>
        <w:t>Beim Aushub trat unter der alten Terrasse bindiger, nasser Boden auf. Der Polier empfahl eine Drainageleitung mit Kontrollschacht und zusätzlichen Frostschutz. Zudem bat Katja Möller um zwei flachere Stufen am Seitentor, damit ihre Mutter den Weg mit Rollator nutzen könne.</w:t>
      </w:r>
    </w:p>
    <w:p>
      <w:pPr>
        <w:widowControl/>
        <w:jc w:val="both"/>
      </w:pPr>
      <w:r>
        <w:t>Das Nachtragsblatt führt 18 Meter Drainagerohr, 7.4 Kubikmeter Frostschutz, Entsorgung Bodenklasse und eine zweite Stufenanlage auf. Handschriftlich steht telefonisch mit Frau Dr. Möller 24.3., 11:10 Uhr, bitte machen.</w:t>
      </w:r>
    </w:p>
    <w:p>
      <w:pPr>
        <w:pStyle w:val="Heading1"/>
      </w:pPr>
      <w:r>
        <w:t>2. Preis und Ausführung</w:t>
      </w:r>
    </w:p>
    <w:p>
      <w:pPr>
        <w:widowControl/>
        <w:jc w:val="both"/>
      </w:pPr>
      <w:r>
        <w:t>Der Preis wurde aus Einheitspreisen und sechs zusätzlichen Maschinenstunden gebildet. Eine Unterschrift der Auftraggeberin fehlt. Katja Möller antwortete am selben Tag per E-Mail, die Arbeiten sollten wegen angekündigten Regens nicht stillstehen.</w:t>
      </w:r>
    </w:p>
    <w:p>
      <w:pPr>
        <w:widowControl/>
        <w:jc w:val="both"/>
      </w:pPr>
      <w:r>
        <w:t>Die Drainage wurde am 25. und 26. März eingebaut. Der Kontrollschacht liegt laut Aufmaß 1.6 Meter weiter westlich als in der Nachtragsskizze. Die zweite Stufenanlage war am 2. April fertig.</w:t>
      </w:r>
    </w:p>
    <w:p/>
    <w:p>
      <w:r>
        <w:rPr>
          <w:b/>
        </w:rPr>
        <w:t>Sven Rabe</w:t>
      </w:r>
    </w:p>
    <w:p>
      <w:r>
        <w:t>Bauleiter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Grünwerk Habichtswald GmbH  |  Baustelle Dörnbergstraße 44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Grünwerk Habichtswald GmbH</w:t>
          </w:r>
          <w:r>
            <w:rPr>
              <w:rFonts w:ascii="Arial" w:hAnsi="Arial"/>
              <w:color w:val="5C6266"/>
              <w:sz w:val="17"/>
            </w:rPr>
            <w:br/>
            <w:t>Baustelle Dörnbergstraße 44</w:t>
          </w:r>
        </w:p>
      </w:tc>
      <w:tc>
        <w:tcPr>
          <w:tcW w:type="dxa" w:w="3742"/>
        </w:tcPr>
        <w:p>
          <w:pPr>
            <w:spacing w:after="0"/>
            <w:jc w:val="right"/>
          </w:pPr>
          <w:r>
            <w:rPr>
              <w:rFonts w:ascii="Arial" w:hAnsi="Arial"/>
              <w:color w:val="5C6266"/>
              <w:sz w:val="15"/>
            </w:rPr>
            <w:t>Wolfhager Straße 188 · 34127 Kassel</w:t>
            <w:br/>
            <w:t>Telefon 0561 830 44 10 · buero@gruenwerk-habichtswald.de</w:t>
            <w:br/>
            <w:t>HRB 19422 AG Kassel · IBAN DE52 5205 0353 0018 7741 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