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Zahlungsaufforderung aus Einstandserklärung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Adressatin</w:t>
            </w:r>
          </w:p>
        </w:tc>
        <w:tc>
          <w:tcPr>
            <w:tcW w:type="dxa" w:w="7313"/>
            <w:vAlign w:val="top"/>
          </w:tcPr>
          <w:p>
            <w:pPr>
              <w:spacing w:after="20"/>
            </w:pPr>
            <w:r>
              <w:rPr>
                <w:rFonts w:ascii="Arial" w:hAnsi="Arial"/>
                <w:sz w:val="18"/>
              </w:rPr>
              <w:t>Dr. Katja Möller, Friedrich-Ebert-Straße 102, Kassel</w:t>
            </w:r>
          </w:p>
        </w:tc>
      </w:tr>
      <w:tr>
        <w:tc>
          <w:tcPr>
            <w:tcW w:type="dxa" w:w="1928"/>
            <w:vAlign w:val="top"/>
          </w:tcPr>
          <w:p>
            <w:pPr>
              <w:spacing w:after="20"/>
            </w:pPr>
            <w:r>
              <w:rPr>
                <w:rFonts w:ascii="Arial" w:hAnsi="Arial"/>
                <w:b/>
                <w:color w:val="5C6266"/>
                <w:sz w:val="17"/>
              </w:rPr>
              <w:t>Mandantin</w:t>
            </w:r>
          </w:p>
        </w:tc>
        <w:tc>
          <w:tcPr>
            <w:tcW w:type="dxa" w:w="7313"/>
            <w:vAlign w:val="top"/>
          </w:tcPr>
          <w:p>
            <w:pPr>
              <w:spacing w:after="20"/>
            </w:pPr>
            <w:r>
              <w:rPr>
                <w:rFonts w:ascii="Arial" w:hAnsi="Arial"/>
                <w:sz w:val="18"/>
              </w:rPr>
              <w:t>Grünwerk Habichtswald GmbH</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18.05.2026</w:t>
            </w:r>
          </w:p>
        </w:tc>
      </w:tr>
      <w:tr>
        <w:tc>
          <w:tcPr>
            <w:tcW w:type="dxa" w:w="1928"/>
            <w:vAlign w:val="top"/>
          </w:tcPr>
          <w:p>
            <w:pPr>
              <w:spacing w:after="20"/>
            </w:pPr>
            <w:r>
              <w:rPr>
                <w:rFonts w:ascii="Arial" w:hAnsi="Arial"/>
                <w:b/>
                <w:color w:val="5C6266"/>
                <w:sz w:val="17"/>
              </w:rPr>
              <w:t>Forderung</w:t>
            </w:r>
          </w:p>
        </w:tc>
        <w:tc>
          <w:tcPr>
            <w:tcW w:type="dxa" w:w="7313"/>
            <w:vAlign w:val="top"/>
          </w:tcPr>
          <w:p>
            <w:pPr>
              <w:spacing w:after="20"/>
            </w:pPr>
            <w:r>
              <w:rPr>
                <w:rFonts w:ascii="Arial" w:hAnsi="Arial"/>
                <w:sz w:val="18"/>
              </w:rPr>
              <w:t>11860.05 EUR zuzüglich Zinsen</w:t>
            </w:r>
          </w:p>
        </w:tc>
      </w:tr>
    </w:tbl>
    <w:p>
      <w:pPr>
        <w:spacing w:after="40"/>
      </w:pPr>
    </w:p>
    <w:p>
      <w:pPr>
        <w:pStyle w:val="Heading1"/>
      </w:pPr>
      <w:r>
        <w:t>1. Forderungsdarstellung</w:t>
      </w:r>
    </w:p>
    <w:p>
      <w:pPr>
        <w:widowControl/>
        <w:jc w:val="both"/>
      </w:pPr>
      <w:r>
        <w:t>Unsere Mandantin beansprucht den offenen Rest aus Hauptauftrag und Nachtrag. Nach Abzug der beiden Abschläge und einer Kulanzgutschrift von 4112 EUR verbleiben 11860.05 EUR. Die Mängelanzeige Ihrer Mutter sei nach Auffassung unserer Mandantin weitgehend unbegründet; ein Besichtigungstermin wurde für den 7. Mai angeboten.</w:t>
      </w:r>
    </w:p>
    <w:p>
      <w:pPr>
        <w:widowControl/>
        <w:jc w:val="both"/>
      </w:pPr>
      <w:r>
        <w:t>Sie teilten am 24. März per E-Mail mit, die Firma solle weiterarbeiten und Sie stünden dafür ein, dass alles bezahlt werde. Unsere Mandantin habe nur aufgrund dieser Erklärung Drainage und zusätzliche Stufen ohne Unterschrift Ihrer Mutter ausgeführt.</w:t>
      </w:r>
    </w:p>
    <w:p>
      <w:pPr>
        <w:pStyle w:val="Heading1"/>
      </w:pPr>
      <w:r>
        <w:t>2. Frist und Unterlagen</w:t>
      </w:r>
    </w:p>
    <w:p>
      <w:pPr>
        <w:widowControl/>
        <w:jc w:val="both"/>
      </w:pPr>
      <w:r>
        <w:t>Wir fordern Zahlung bis 29. Mai 2026. Hilfsweise bitten wir um Mitteilung, ob Sie die Erklärung als bloße Terminfreigabe verstehen. Legen Sie gegebenenfalls den vollständigen E-Mail-Verlauf vor.</w:t>
      </w:r>
    </w:p>
    <w:p>
      <w:pPr>
        <w:widowControl/>
        <w:jc w:val="both"/>
      </w:pPr>
      <w:r>
        <w:t>Die Ansprüche gegen Ingrid Möller werden unabhängig weiterverfolgt. Mit diesem Schreiben ist keine Erklärung verbunden, auf Einwendungen gegen die Werkleistung zu verzichten.</w:t>
      </w:r>
    </w:p>
    <w:p/>
    <w:p>
      <w:r>
        <w:rPr>
          <w:b/>
        </w:rPr>
        <w:t>Rechtsanwältin Theresa Röttger</w:t>
      </w:r>
    </w:p>
    <w:p>
      <w:r>
        <w:t>Fachanwältin für Bau- und Architektenrecht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Kanzlei Röttger und Hain  |  Rechtsanwälte · Bau- und Forderungsrecht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Kanzlei Röttger und Hain</w:t>
          </w:r>
          <w:r>
            <w:rPr>
              <w:rFonts w:ascii="Arial" w:hAnsi="Arial"/>
              <w:color w:val="5C6266"/>
              <w:sz w:val="17"/>
            </w:rPr>
            <w:br/>
            <w:t>Rechtsanwälte · Bau- und Forderungsrecht</w:t>
          </w:r>
        </w:p>
      </w:tc>
      <w:tc>
        <w:tcPr>
          <w:tcW w:type="dxa" w:w="3742"/>
        </w:tcPr>
        <w:p>
          <w:pPr>
            <w:spacing w:after="0"/>
            <w:jc w:val="right"/>
          </w:pPr>
          <w:r>
            <w:rPr>
              <w:rFonts w:ascii="Arial" w:hAnsi="Arial"/>
              <w:color w:val="5C6266"/>
              <w:sz w:val="15"/>
            </w:rPr>
            <w:t>Königsplatz 55 · 34117 Kassel</w:t>
            <w:br/>
            <w:t>Telefon 0561 920 18 60 · kanzlei@roettger-hain.de</w:t>
            <w:br/>
            <w:t>Aktenzeichen RH-1184/26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