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pPr>
      <w:r>
        <w:rPr>
          <w:rFonts w:ascii="Arial" w:hAnsi="Arial"/>
          <w:b/>
          <w:color w:val="01696F"/>
          <w:sz w:val="34"/>
        </w:rPr>
        <w:t>Übergabenotiz E-Bike Veloria Tour 8</w:t>
      </w:r>
    </w:p>
    <w:tbl>
      <w:tblPr>
        <w:tblW w:type="auto" w:w="0"/>
        <w:jc w:val="left"/>
        <w:tblLayout w:type="fixed"/>
        <w:tblLook w:firstColumn="1" w:firstRow="1" w:lastColumn="0" w:lastRow="0" w:noHBand="0" w:noVBand="1" w:val="04A0"/>
      </w:tblPr>
      <w:tblGrid>
        <w:gridCol w:w="4620"/>
        <w:gridCol w:w="4620"/>
      </w:tblGrid>
      <w:tr>
        <w:tc>
          <w:tcPr>
            <w:tcW w:type="dxa" w:w="1928"/>
            <w:vAlign w:val="top"/>
          </w:tcPr>
          <w:p>
            <w:pPr>
              <w:spacing w:after="20"/>
            </w:pPr>
            <w:r>
              <w:rPr>
                <w:rFonts w:ascii="Arial" w:hAnsi="Arial"/>
                <w:b/>
                <w:color w:val="5C6266"/>
                <w:sz w:val="17"/>
              </w:rPr>
              <w:t>Entleiher</w:t>
            </w:r>
          </w:p>
        </w:tc>
        <w:tc>
          <w:tcPr>
            <w:tcW w:type="dxa" w:w="7313"/>
            <w:vAlign w:val="top"/>
          </w:tcPr>
          <w:p>
            <w:pPr>
              <w:spacing w:after="20"/>
            </w:pPr>
            <w:r>
              <w:rPr>
                <w:rFonts w:ascii="Arial" w:hAnsi="Arial"/>
                <w:sz w:val="18"/>
              </w:rPr>
              <w:t>Jonas Maier, Wohnung 2. OG</w:t>
            </w:r>
          </w:p>
        </w:tc>
      </w:tr>
      <w:tr>
        <w:tc>
          <w:tcPr>
            <w:tcW w:type="dxa" w:w="1928"/>
            <w:vAlign w:val="top"/>
          </w:tcPr>
          <w:p>
            <w:pPr>
              <w:spacing w:after="20"/>
            </w:pPr>
            <w:r>
              <w:rPr>
                <w:rFonts w:ascii="Arial" w:hAnsi="Arial"/>
                <w:b/>
                <w:color w:val="5C6266"/>
                <w:sz w:val="17"/>
              </w:rPr>
              <w:t>Übergabe</w:t>
            </w:r>
          </w:p>
        </w:tc>
        <w:tc>
          <w:tcPr>
            <w:tcW w:type="dxa" w:w="7313"/>
            <w:vAlign w:val="top"/>
          </w:tcPr>
          <w:p>
            <w:pPr>
              <w:spacing w:after="20"/>
            </w:pPr>
            <w:r>
              <w:rPr>
                <w:rFonts w:ascii="Arial" w:hAnsi="Arial"/>
                <w:sz w:val="18"/>
              </w:rPr>
              <w:t>12.06.2026, 17:40 Uhr</w:t>
            </w:r>
          </w:p>
        </w:tc>
      </w:tr>
      <w:tr>
        <w:tc>
          <w:tcPr>
            <w:tcW w:type="dxa" w:w="1928"/>
            <w:vAlign w:val="top"/>
          </w:tcPr>
          <w:p>
            <w:pPr>
              <w:spacing w:after="20"/>
            </w:pPr>
            <w:r>
              <w:rPr>
                <w:rFonts w:ascii="Arial" w:hAnsi="Arial"/>
                <w:b/>
                <w:color w:val="5C6266"/>
                <w:sz w:val="17"/>
              </w:rPr>
              <w:t>Rückgabe geplant</w:t>
            </w:r>
          </w:p>
        </w:tc>
        <w:tc>
          <w:tcPr>
            <w:tcW w:type="dxa" w:w="7313"/>
            <w:vAlign w:val="top"/>
          </w:tcPr>
          <w:p>
            <w:pPr>
              <w:spacing w:after="20"/>
            </w:pPr>
            <w:r>
              <w:rPr>
                <w:rFonts w:ascii="Arial" w:hAnsi="Arial"/>
                <w:sz w:val="18"/>
              </w:rPr>
              <w:t>15.06.2026, 08:00 Uhr</w:t>
            </w:r>
          </w:p>
        </w:tc>
      </w:tr>
      <w:tr>
        <w:tc>
          <w:tcPr>
            <w:tcW w:type="dxa" w:w="1928"/>
            <w:vAlign w:val="top"/>
          </w:tcPr>
          <w:p>
            <w:pPr>
              <w:spacing w:after="20"/>
            </w:pPr>
            <w:r>
              <w:rPr>
                <w:rFonts w:ascii="Arial" w:hAnsi="Arial"/>
                <w:b/>
                <w:color w:val="5C6266"/>
                <w:sz w:val="17"/>
              </w:rPr>
              <w:t>Fahrradwert 2023</w:t>
            </w:r>
          </w:p>
        </w:tc>
        <w:tc>
          <w:tcPr>
            <w:tcW w:type="dxa" w:w="7313"/>
            <w:vAlign w:val="top"/>
          </w:tcPr>
          <w:p>
            <w:pPr>
              <w:spacing w:after="20"/>
            </w:pPr>
            <w:r>
              <w:rPr>
                <w:rFonts w:ascii="Arial" w:hAnsi="Arial"/>
                <w:sz w:val="18"/>
              </w:rPr>
              <w:t>3790 EUR</w:t>
            </w:r>
          </w:p>
        </w:tc>
      </w:tr>
    </w:tbl>
    <w:p>
      <w:pPr>
        <w:spacing w:after="40"/>
      </w:pPr>
    </w:p>
    <w:p>
      <w:pPr>
        <w:pStyle w:val="Heading1"/>
      </w:pPr>
      <w:r>
        <w:t>1. Überlassung</w:t>
      </w:r>
    </w:p>
    <w:p>
      <w:pPr>
        <w:widowControl/>
        <w:jc w:val="both"/>
      </w:pPr>
      <w:r>
        <w:t>Jonas Maier erhält Fahrrad, Rahmenschloss, Akkuschlüssel und ein schwarzes Ersatzladegerät ChargePro 42V. Das Originalgerät liegt nach Angabe von Ruth Ganter bei ihrer Tochter in Basel. Die Leihe ist unentgeltlich und dient einer Wochenendtour im Kaiserstuhl.</w:t>
      </w:r>
    </w:p>
    <w:p>
      <w:pPr>
        <w:widowControl/>
        <w:jc w:val="both"/>
      </w:pPr>
      <w:r>
        <w:t>Der Akku zeigte 54 Prozent. Beim Einschalten erschien kurz Fehler E17, verschwand aber nach Neustart. Ruth Ganter erklärte, die Anzeige sei nach kalten Nächten schon zweimal aufgetreten; das Rad habe danach normal funktioniert.</w:t>
      </w:r>
    </w:p>
    <w:p>
      <w:pPr>
        <w:pStyle w:val="Heading1"/>
      </w:pPr>
      <w:r>
        <w:t>2. Laden und Aufbewahren</w:t>
      </w:r>
    </w:p>
    <w:p>
      <w:pPr>
        <w:widowControl/>
        <w:jc w:val="both"/>
      </w:pPr>
      <w:r>
        <w:t>Ruth Ganter bat darum, den Akku in der Waschküche auf der Steinablage und nicht in der Wohnung zu laden. Das Ersatzgerät passe zum Stecker und sei im Frühjahr bereits benutzt worden. Eine schriftliche Anleitung wurde nicht übergeben.</w:t>
      </w:r>
    </w:p>
    <w:p>
      <w:pPr>
        <w:widowControl/>
        <w:jc w:val="both"/>
      </w:pPr>
      <w:r>
        <w:t>Im Keller hängt ein Aushang der Hausverwaltung, Akkus nicht unbeaufsichtigt über Nacht zu laden. Jonas Maier kannte den Aushang, hielt die Waschküche aber für den von der Eigentümerin gewünschten Ort.</w:t>
      </w:r>
    </w:p>
    <w:p/>
    <w:p>
      <w:r>
        <w:rPr>
          <w:b/>
        </w:rPr>
        <w:t>Ruth Ganter</w:t>
      </w:r>
    </w:p>
    <w:p>
      <w:r>
        <w:t>Verleiherin</w:t>
      </w:r>
    </w:p>
    <w:sectPr w:rsidR="00FC693F" w:rsidRPr="0006063C" w:rsidSect="00034616">
      <w:headerReference w:type="default" r:id="rId9"/>
      <w:footerReference w:type="default" r:id="rId10"/>
      <w:pgSz w:w="11906" w:h="16838"/>
      <w:pgMar w:top="1332" w:right="1276" w:bottom="1247" w:left="1389" w:header="45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C6266"/>
        <w:sz w:val="15"/>
      </w:rPr>
      <w:t xml:space="preserve">Ruth Ganter  |  Schwarzwaldstraße 221 · 79117 Freiburg  |  Seite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01696F"/>
      </w:pBdr>
    </w:pPr>
  </w:p>
  <w:tbl>
    <w:tblPr>
      <w:tblW w:type="auto" w:w="0"/>
      <w:jc w:val="left"/>
      <w:tblLayout w:type="fixed"/>
      <w:tblLook w:firstColumn="1" w:firstRow="1" w:lastColumn="0" w:lastRow="0" w:noHBand="0" w:noVBand="1" w:val="04A0"/>
    </w:tblPr>
    <w:tblGrid>
      <w:gridCol w:w="5499"/>
      <w:gridCol w:w="3742"/>
    </w:tblGrid>
    <w:tr>
      <w:tc>
        <w:tcPr>
          <w:tcW w:type="dxa" w:w="5499"/>
        </w:tcPr>
        <w:p>
          <w:pPr>
            <w:spacing w:after="0"/>
          </w:pPr>
          <w:r>
            <w:rPr>
              <w:rFonts w:ascii="Arial" w:hAnsi="Arial"/>
              <w:b/>
              <w:color w:val="01696F"/>
              <w:sz w:val="25"/>
            </w:rPr>
            <w:t>Ruth Ganter</w:t>
          </w:r>
          <w:r>
            <w:rPr>
              <w:rFonts w:ascii="Arial" w:hAnsi="Arial"/>
              <w:color w:val="5C6266"/>
              <w:sz w:val="17"/>
            </w:rPr>
            <w:br/>
            <w:t>Schwarzwaldstraße 221 · 79117 Freiburg</w:t>
          </w:r>
        </w:p>
      </w:tc>
      <w:tc>
        <w:tcPr>
          <w:tcW w:type="dxa" w:w="3742"/>
        </w:tcPr>
        <w:p>
          <w:pPr>
            <w:spacing w:after="0"/>
            <w:jc w:val="right"/>
          </w:pPr>
          <w:r>
            <w:rPr>
              <w:rFonts w:ascii="Arial" w:hAnsi="Arial"/>
              <w:color w:val="5C6266"/>
              <w:sz w:val="15"/>
            </w:rPr>
            <w:t>Telefon 0761 482 11 06 · ruth.ganter@posteo.de</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color w:val="01696F"/>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01696F"/>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01696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