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Ärztliche Bescheinigung Paula Lehnert</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Operation</w:t>
            </w:r>
          </w:p>
        </w:tc>
        <w:tc>
          <w:tcPr>
            <w:tcW w:type="dxa" w:w="7313"/>
            <w:vAlign w:val="top"/>
          </w:tcPr>
          <w:p>
            <w:pPr>
              <w:spacing w:after="20"/>
            </w:pPr>
            <w:r>
              <w:rPr>
                <w:rFonts w:ascii="Arial" w:hAnsi="Arial"/>
                <w:sz w:val="18"/>
              </w:rPr>
              <w:t>16.03.2026</w:t>
            </w:r>
          </w:p>
        </w:tc>
      </w:tr>
      <w:tr>
        <w:tc>
          <w:tcPr>
            <w:tcW w:type="dxa" w:w="1928"/>
            <w:vAlign w:val="top"/>
          </w:tcPr>
          <w:p>
            <w:pPr>
              <w:spacing w:after="20"/>
            </w:pPr>
            <w:r>
              <w:rPr>
                <w:rFonts w:ascii="Arial" w:hAnsi="Arial"/>
                <w:b/>
                <w:color w:val="5C6266"/>
                <w:sz w:val="17"/>
              </w:rPr>
              <w:t>Schulunfähigkeit</w:t>
            </w:r>
          </w:p>
        </w:tc>
        <w:tc>
          <w:tcPr>
            <w:tcW w:type="dxa" w:w="7313"/>
            <w:vAlign w:val="top"/>
          </w:tcPr>
          <w:p>
            <w:pPr>
              <w:spacing w:after="20"/>
            </w:pPr>
            <w:r>
              <w:rPr>
                <w:rFonts w:ascii="Arial" w:hAnsi="Arial"/>
                <w:sz w:val="18"/>
              </w:rPr>
              <w:t>16.03. bis 10.04.2026</w:t>
            </w:r>
          </w:p>
        </w:tc>
      </w:tr>
      <w:tr>
        <w:tc>
          <w:tcPr>
            <w:tcW w:type="dxa" w:w="1928"/>
            <w:vAlign w:val="top"/>
          </w:tcPr>
          <w:p>
            <w:pPr>
              <w:spacing w:after="20"/>
            </w:pPr>
            <w:r>
              <w:rPr>
                <w:rFonts w:ascii="Arial" w:hAnsi="Arial"/>
                <w:b/>
                <w:color w:val="5C6266"/>
                <w:sz w:val="17"/>
              </w:rPr>
              <w:t>Nachsorge</w:t>
            </w:r>
          </w:p>
        </w:tc>
        <w:tc>
          <w:tcPr>
            <w:tcW w:type="dxa" w:w="7313"/>
            <w:vAlign w:val="top"/>
          </w:tcPr>
          <w:p>
            <w:pPr>
              <w:spacing w:after="20"/>
            </w:pPr>
            <w:r>
              <w:rPr>
                <w:rFonts w:ascii="Arial" w:hAnsi="Arial"/>
                <w:sz w:val="18"/>
              </w:rPr>
              <w:t>bis 24.04.2026</w:t>
            </w:r>
          </w:p>
        </w:tc>
      </w:tr>
      <w:tr>
        <w:tc>
          <w:tcPr>
            <w:tcW w:type="dxa" w:w="1928"/>
            <w:vAlign w:val="top"/>
          </w:tcPr>
          <w:p>
            <w:pPr>
              <w:spacing w:after="20"/>
            </w:pPr>
            <w:r>
              <w:rPr>
                <w:rFonts w:ascii="Arial" w:hAnsi="Arial"/>
                <w:b/>
                <w:color w:val="5C6266"/>
                <w:sz w:val="17"/>
              </w:rPr>
              <w:t>Ausgestellt</w:t>
            </w:r>
          </w:p>
        </w:tc>
        <w:tc>
          <w:tcPr>
            <w:tcW w:type="dxa" w:w="7313"/>
            <w:vAlign w:val="top"/>
          </w:tcPr>
          <w:p>
            <w:pPr>
              <w:spacing w:after="20"/>
            </w:pPr>
            <w:r>
              <w:rPr>
                <w:rFonts w:ascii="Arial" w:hAnsi="Arial"/>
                <w:sz w:val="18"/>
              </w:rPr>
              <w:t>18.03.2026</w:t>
            </w:r>
          </w:p>
        </w:tc>
      </w:tr>
    </w:tbl>
    <w:p>
      <w:pPr>
        <w:spacing w:after="40"/>
      </w:pPr>
    </w:p>
    <w:p>
      <w:pPr>
        <w:pStyle w:val="Heading1"/>
      </w:pPr>
      <w:r>
        <w:t>1. Gesundheitlicher Verlauf</w:t>
      </w:r>
    </w:p>
    <w:p>
      <w:pPr>
        <w:widowControl/>
        <w:jc w:val="both"/>
      </w:pPr>
      <w:r>
        <w:t>Paula Lehnert wurde am rechten Knie arthroskopisch behandelt. Für vier Wochen sind längere Wege, Treppen und mehrstündiges Sitzen nur eingeschränkt möglich. Die Schule organisiert zunächst Aufgaben zu Hause.</w:t>
      </w:r>
    </w:p>
    <w:p>
      <w:pPr>
        <w:widowControl/>
        <w:jc w:val="both"/>
      </w:pPr>
      <w:r>
        <w:t>Eine Teilnahme an Onlineunterricht wäre nach medizinischer Einschätzung ab 30. März für jeweils höchstens 45 Minuten möglich, sofern Schmerzmittel und Tagesform dies zulassen.</w:t>
      </w:r>
    </w:p>
    <w:p>
      <w:pPr>
        <w:pStyle w:val="Heading1"/>
      </w:pPr>
      <w:r>
        <w:t>2. Mitteilung der Eltern</w:t>
      </w:r>
    </w:p>
    <w:p>
      <w:pPr>
        <w:widowControl/>
        <w:jc w:val="both"/>
      </w:pPr>
      <w:r>
        <w:t>Sabine Lehnert leitete das Attest am 19. März an das Institut weiter und beantragte eine Ruhezeit ab 16. März. Das Institut bestätigte Eingang am 20. März, erklärte jedoch, ein Antrag müsse vor Beginn der dritten Krankheitswoche geprüft werden.</w:t>
      </w:r>
    </w:p>
    <w:p>
      <w:pPr>
        <w:widowControl/>
        <w:jc w:val="both"/>
      </w:pPr>
      <w:r>
        <w:t>Am 1. April bot das Institut zwei Onlineeinheiten an. Paula nahm am 2. April 38 Minuten teil und sagte den Termin am 6. April am selben Morgen wegen Schmerzen ab.</w:t>
      </w:r>
    </w:p>
    <w:p/>
    <w:p>
      <w:r>
        <w:rPr>
          <w:b/>
        </w:rPr>
        <w:t>Dr. Jan Weber</w:t>
      </w:r>
    </w:p>
    <w:p>
      <w:r>
        <w:t>Facharzt für Orthopädie und Unfallchirurgie</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Praxisgemeinschaft Weber und Neumann  |  Orthopädie und Unfallchirurgie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Praxisgemeinschaft Weber und Neumann</w:t>
          </w:r>
          <w:r>
            <w:rPr>
              <w:rFonts w:ascii="Arial" w:hAnsi="Arial"/>
              <w:color w:val="5C6266"/>
              <w:sz w:val="17"/>
            </w:rPr>
            <w:br/>
            <w:t>Orthopädie und Unfallchirurgie</w:t>
          </w:r>
        </w:p>
      </w:tc>
      <w:tc>
        <w:tcPr>
          <w:tcW w:type="dxa" w:w="3742"/>
        </w:tcPr>
        <w:p>
          <w:pPr>
            <w:spacing w:after="0"/>
            <w:jc w:val="right"/>
          </w:pPr>
          <w:r>
            <w:rPr>
              <w:rFonts w:ascii="Arial" w:hAnsi="Arial"/>
              <w:color w:val="5C6266"/>
              <w:sz w:val="15"/>
            </w:rPr>
            <w:t>Poppelsdorfer Allee 88 · 53115 Bonn</w:t>
            <w:br/>
            <w:t>Telefon 0228 944 18 20 · praxis@weber-neumann.de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