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Protokoll der Kündigungsversuche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Erster Versuch</w:t>
            </w:r>
          </w:p>
        </w:tc>
        <w:tc>
          <w:tcPr>
            <w:tcW w:type="dxa" w:w="7313"/>
            <w:vAlign w:val="top"/>
          </w:tcPr>
          <w:p>
            <w:pPr>
              <w:spacing w:after="20"/>
            </w:pPr>
            <w:r>
              <w:rPr>
                <w:rFonts w:ascii="Arial" w:hAnsi="Arial"/>
                <w:sz w:val="18"/>
              </w:rPr>
              <w:t>28.12.2025, 21:18 Uhr</w:t>
            </w:r>
          </w:p>
        </w:tc>
      </w:tr>
      <w:tr>
        <w:tc>
          <w:tcPr>
            <w:tcW w:type="dxa" w:w="1928"/>
            <w:vAlign w:val="top"/>
          </w:tcPr>
          <w:p>
            <w:pPr>
              <w:spacing w:after="20"/>
            </w:pPr>
            <w:r>
              <w:rPr>
                <w:rFonts w:ascii="Arial" w:hAnsi="Arial"/>
                <w:b/>
                <w:color w:val="5C6266"/>
                <w:sz w:val="17"/>
              </w:rPr>
              <w:t>Zweiter Versuch</w:t>
            </w:r>
          </w:p>
        </w:tc>
        <w:tc>
          <w:tcPr>
            <w:tcW w:type="dxa" w:w="7313"/>
            <w:vAlign w:val="top"/>
          </w:tcPr>
          <w:p>
            <w:pPr>
              <w:spacing w:after="20"/>
            </w:pPr>
            <w:r>
              <w:rPr>
                <w:rFonts w:ascii="Arial" w:hAnsi="Arial"/>
                <w:sz w:val="18"/>
              </w:rPr>
              <w:t>10.01.2026, 10:02 Uhr</w:t>
            </w:r>
          </w:p>
        </w:tc>
      </w:tr>
      <w:tr>
        <w:tc>
          <w:tcPr>
            <w:tcW w:type="dxa" w:w="1928"/>
            <w:vAlign w:val="top"/>
          </w:tcPr>
          <w:p>
            <w:pPr>
              <w:spacing w:after="20"/>
            </w:pPr>
            <w:r>
              <w:rPr>
                <w:rFonts w:ascii="Arial" w:hAnsi="Arial"/>
                <w:b/>
                <w:color w:val="5C6266"/>
                <w:sz w:val="17"/>
              </w:rPr>
              <w:t>Geräte</w:t>
            </w:r>
          </w:p>
        </w:tc>
        <w:tc>
          <w:tcPr>
            <w:tcW w:type="dxa" w:w="7313"/>
            <w:vAlign w:val="top"/>
          </w:tcPr>
          <w:p>
            <w:pPr>
              <w:spacing w:after="20"/>
            </w:pPr>
            <w:r>
              <w:rPr>
                <w:rFonts w:ascii="Arial" w:hAnsi="Arial"/>
                <w:sz w:val="18"/>
              </w:rPr>
              <w:t>Notebook und Mobiltelefon</w:t>
            </w:r>
          </w:p>
        </w:tc>
      </w:tr>
      <w:tr>
        <w:tc>
          <w:tcPr>
            <w:tcW w:type="dxa" w:w="1928"/>
            <w:vAlign w:val="top"/>
          </w:tcPr>
          <w:p>
            <w:pPr>
              <w:spacing w:after="20"/>
            </w:pPr>
            <w:r>
              <w:rPr>
                <w:rFonts w:ascii="Arial" w:hAnsi="Arial"/>
                <w:b/>
                <w:color w:val="5C6266"/>
                <w:sz w:val="17"/>
              </w:rPr>
              <w:t>Browser</w:t>
            </w:r>
          </w:p>
        </w:tc>
        <w:tc>
          <w:tcPr>
            <w:tcW w:type="dxa" w:w="7313"/>
            <w:vAlign w:val="top"/>
          </w:tcPr>
          <w:p>
            <w:pPr>
              <w:spacing w:after="20"/>
            </w:pPr>
            <w:r>
              <w:rPr>
                <w:rFonts w:ascii="Arial" w:hAnsi="Arial"/>
                <w:sz w:val="18"/>
              </w:rPr>
              <w:t>Firefox 146 / Safari iOS</w:t>
            </w:r>
          </w:p>
        </w:tc>
      </w:tr>
    </w:tbl>
    <w:p>
      <w:pPr>
        <w:spacing w:after="40"/>
      </w:pPr>
    </w:p>
    <w:p>
      <w:pPr>
        <w:pStyle w:val="Heading1"/>
      </w:pPr>
      <w:r>
        <w:t>1. Ablauf</w:t>
      </w:r>
    </w:p>
    <w:p>
      <w:pPr>
        <w:widowControl/>
        <w:jc w:val="both"/>
      </w:pPr>
      <w:r>
        <w:t>Der Link Verträge hier kündigen im Seitenfuß öffnete zunächst eine Anmeldeseite. Nach Anmeldung erschien erneut die Kursübersicht. Beim zweiten Klick wurde für weniger als eine Sekunde eine Seite /contract/cancel angezeigt, dann erfolgte eine Rückleitung auf /dashboard.</w:t>
      </w:r>
    </w:p>
    <w:p>
      <w:pPr>
        <w:widowControl/>
        <w:jc w:val="both"/>
      </w:pPr>
      <w:r>
        <w:t>Am 10. Januar trat derselbe Ablauf auf dem Mobiltelefon auf. Ein Bildschirmvideo zeigt Uhrzeit, Adresszeile und Rückleitung. Eine Bestätigungsseite oder speicherbare Kündigungsbestätigung erschien nicht.</w:t>
      </w:r>
    </w:p>
    <w:p>
      <w:pPr>
        <w:pStyle w:val="Heading1"/>
      </w:pPr>
      <w:r>
        <w:t>2. Kontakt</w:t>
      </w:r>
    </w:p>
    <w:p>
      <w:pPr>
        <w:widowControl/>
        <w:jc w:val="both"/>
      </w:pPr>
      <w:r>
        <w:t>Am 10. Januar um 10:18 Uhr schrieb die Kundin im Supportchat Kündigung zum nächstmöglichen Termin. Der Bot antwortete, Vertragsfragen würden innerhalb von zwei Werktagen bearbeitet. Am 14. Januar teilte ein Mitarbeiter mit, die Verlängerung sei bereits am 12. Januar eingetreten.</w:t>
      </w:r>
    </w:p>
    <w:p>
      <w:pPr>
        <w:widowControl/>
        <w:jc w:val="both"/>
      </w:pPr>
      <w:r>
        <w:t>Die Kundin nutzte am 2. Februar versehentlich einen Link zu einer neuen Lektion aus einer Erinnerungsmail. Sie beendete das Video nach 46 Sekunden und schrieb unmittelbar an den Support.</w:t>
      </w:r>
    </w:p>
    <w:p/>
    <w:p>
      <w:r>
        <w:rPr>
          <w:b/>
        </w:rPr>
        <w:t>Melina Schürmann</w:t>
      </w:r>
    </w:p>
    <w:p>
      <w:r>
        <w:t>Kundin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Melina Schürmann  |  Kundenkonto LS-884120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Melina Schürmann</w:t>
          </w:r>
          <w:r>
            <w:rPr>
              <w:rFonts w:ascii="Arial" w:hAnsi="Arial"/>
              <w:color w:val="5C6266"/>
              <w:sz w:val="17"/>
            </w:rPr>
            <w:br/>
            <w:t>Kundenkonto LS-884120</w:t>
          </w:r>
        </w:p>
      </w:tc>
      <w:tc>
        <w:tcPr>
          <w:tcW w:type="dxa" w:w="3742"/>
        </w:tcPr>
        <w:p>
          <w:pPr>
            <w:spacing w:after="0"/>
            <w:jc w:val="right"/>
          </w:pPr>
          <w:r>
            <w:rPr>
              <w:rFonts w:ascii="Arial" w:hAnsi="Arial"/>
              <w:color w:val="5C6266"/>
              <w:sz w:val="15"/>
            </w:rPr>
            <w:t>Eifelstraße 72 · 50677 Köln</w:t>
            <w:br/>
            <w:t>melina.schuermann@posteo.de · Telefon 0176 411 88 240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