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Arial" w:hAnsi="Arial"/>
          <w:b/>
          <w:color w:val="01696F"/>
          <w:sz w:val="34"/>
        </w:rPr>
        <w:t>Antwort auf Kündigung und Zahlungsrückgabe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Konto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LS-884120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Datum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04.04.2026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Offen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107.70 EUR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20"/>
            </w:pPr>
            <w:r>
              <w:rPr>
                <w:rFonts w:ascii="Arial" w:hAnsi="Arial"/>
                <w:b/>
                <w:color w:val="5C6266"/>
                <w:sz w:val="17"/>
              </w:rPr>
              <w:t>Vertragsende laut Anbieter</w:t>
            </w:r>
          </w:p>
        </w:tc>
        <w:tc>
          <w:tcPr>
            <w:tcW w:type="dxa" w:w="7313"/>
            <w:vAlign w:val="top"/>
          </w:tcPr>
          <w:p>
            <w:pPr>
              <w:spacing w:after="20"/>
            </w:pPr>
            <w:r>
              <w:rPr>
                <w:rFonts w:ascii="Arial" w:hAnsi="Arial"/>
                <w:sz w:val="18"/>
              </w:rPr>
              <w:t>11.01.2027</w:t>
            </w:r>
          </w:p>
        </w:tc>
      </w:tr>
    </w:tbl>
    <w:p>
      <w:pPr>
        <w:spacing w:after="40"/>
      </w:pPr>
    </w:p>
    <w:p>
      <w:pPr>
        <w:pStyle w:val="Heading1"/>
      </w:pPr>
      <w:r>
        <w:t>1. Anbieterposition</w:t>
      </w:r>
    </w:p>
    <w:p>
      <w:pPr>
        <w:widowControl/>
        <w:jc w:val="both"/>
      </w:pPr>
      <w:r>
        <w:t>Der Anbieter behandelt den Vertrag als um zwölf Monate verlängert. Der Kündigungsbutton sei am 28. Dezember allgemein verfügbar gewesen; Serverfehler seien für das Kundenkonto nicht dokumentiert. Der Chat vom 10. Januar sei nach Ablauf der sechswöchigen Frist eingegangen.</w:t>
      </w:r>
    </w:p>
    <w:p>
      <w:pPr>
        <w:widowControl/>
        <w:jc w:val="both"/>
      </w:pPr>
      <w:r>
        <w:t>Die Nutzung am 4. Januar und 2. Februar werde als Fortsetzung des Kurses gewertet. Die Lastschriften Februar bis April wurden zurückgegeben.</w:t>
      </w:r>
    </w:p>
    <w:p>
      <w:pPr>
        <w:pStyle w:val="Heading1"/>
      </w:pPr>
      <w:r>
        <w:t>2. Forderung</w:t>
      </w:r>
    </w:p>
    <w:p>
      <w:pPr>
        <w:widowControl/>
        <w:jc w:val="both"/>
      </w:pPr>
      <w:r>
        <w:t>Verlangt werden drei Monatsbeiträge zu je 29.90 EUR, Rücklastschriftkosten zu je 4.50 EUR und 4.50 EUR Mahnkosten. Der Zugang ist seit 15. März gesperrt.</w:t>
      </w:r>
    </w:p>
    <w:p>
      <w:pPr>
        <w:widowControl/>
        <w:jc w:val="both"/>
      </w:pPr>
      <w:r>
        <w:t>Der Anbieter bietet an, den Vertrag aus Kulanz zum 30. Juni 2026 zu beenden, wenn die offenen Beiträge bis 18. April gezahlt werden. Die Kundin hat dieses Angebot nicht angenommen.</w:t>
      </w:r>
    </w:p>
    <w:p/>
    <w:p>
      <w:r>
        <w:rPr>
          <w:b/>
        </w:rPr>
        <w:t>Tobias Klewe</w:t>
      </w:r>
    </w:p>
    <w:p>
      <w:r>
        <w:t>Team Forderungsservice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276" w:bottom="1247" w:left="138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266"/>
        <w:sz w:val="15"/>
      </w:rPr>
      <w:t xml:space="preserve">Lernbrücke Sprachen GmbH  |  Forderungsservice  |  Seite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01696F"/>
      </w:pBdr>
    </w:pPr>
  </w:p>
  <w:tbl>
    <w:tblPr>
      <w:tblW w:type="auto" w:w="0"/>
      <w:jc w:val="left"/>
      <w:tblLayout w:type="fixed"/>
      <w:tblLook w:firstColumn="1" w:firstRow="1" w:lastColumn="0" w:lastRow="0" w:noHBand="0" w:noVBand="1" w:val="04A0"/>
    </w:tblPr>
    <w:tblGrid>
      <w:gridCol w:w="5499"/>
      <w:gridCol w:w="3742"/>
    </w:tblGrid>
    <w:tr>
      <w:tc>
        <w:tcPr>
          <w:tcW w:type="dxa" w:w="5499"/>
        </w:tcPr>
        <w:p>
          <w:pPr>
            <w:spacing w:after="0"/>
          </w:pPr>
          <w:r>
            <w:rPr>
              <w:rFonts w:ascii="Arial" w:hAnsi="Arial"/>
              <w:b/>
              <w:color w:val="01696F"/>
              <w:sz w:val="25"/>
            </w:rPr>
            <w:t>Lernbrücke Sprachen GmbH</w:t>
          </w:r>
          <w:r>
            <w:rPr>
              <w:rFonts w:ascii="Arial" w:hAnsi="Arial"/>
              <w:color w:val="5C6266"/>
              <w:sz w:val="17"/>
            </w:rPr>
            <w:br/>
            <w:t>Forderungsservice</w:t>
          </w:r>
        </w:p>
      </w:tc>
      <w:tc>
        <w:tcPr>
          <w:tcW w:type="dxa" w:w="3742"/>
        </w:tcPr>
        <w:p>
          <w:pPr>
            <w:spacing w:after="0"/>
            <w:jc w:val="right"/>
          </w:pPr>
          <w:r>
            <w:rPr>
              <w:rFonts w:ascii="Arial" w:hAnsi="Arial"/>
              <w:color w:val="5C6266"/>
              <w:sz w:val="15"/>
            </w:rPr>
            <w:t>Lernbrücke Sprachen GmbH</w:t>
            <w:br/>
            <w:t>Salierring 46 · 50677 Köln</w:t>
            <w:br/>
            <w:t>Telefon 0221 650 81 20 · service@lernbruecke-sprachen.de</w:t>
            <w:br/>
            <w:t>HRB 112844 AG Köln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169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