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Diagnose- und Reparaturprotokoll</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Auftrag</w:t>
            </w:r>
          </w:p>
        </w:tc>
        <w:tc>
          <w:tcPr>
            <w:tcW w:type="dxa" w:w="7313"/>
            <w:vAlign w:val="top"/>
          </w:tcPr>
          <w:p>
            <w:pPr>
              <w:spacing w:after="20"/>
            </w:pPr>
            <w:r>
              <w:rPr>
                <w:rFonts w:ascii="Arial" w:hAnsi="Arial"/>
                <w:sz w:val="18"/>
              </w:rPr>
              <w:t>PD-260512-77</w:t>
            </w:r>
          </w:p>
        </w:tc>
      </w:tr>
      <w:tr>
        <w:tc>
          <w:tcPr>
            <w:tcW w:type="dxa" w:w="1928"/>
            <w:vAlign w:val="top"/>
          </w:tcPr>
          <w:p>
            <w:pPr>
              <w:spacing w:after="20"/>
            </w:pPr>
            <w:r>
              <w:rPr>
                <w:rFonts w:ascii="Arial" w:hAnsi="Arial"/>
                <w:b/>
                <w:color w:val="5C6266"/>
                <w:sz w:val="17"/>
              </w:rPr>
              <w:t>Techniker</w:t>
            </w:r>
          </w:p>
        </w:tc>
        <w:tc>
          <w:tcPr>
            <w:tcW w:type="dxa" w:w="7313"/>
            <w:vAlign w:val="top"/>
          </w:tcPr>
          <w:p>
            <w:pPr>
              <w:spacing w:after="20"/>
            </w:pPr>
            <w:r>
              <w:rPr>
                <w:rFonts w:ascii="Arial" w:hAnsi="Arial"/>
                <w:sz w:val="18"/>
              </w:rPr>
              <w:t>Daniel Schenk</w:t>
            </w:r>
          </w:p>
        </w:tc>
      </w:tr>
      <w:tr>
        <w:tc>
          <w:tcPr>
            <w:tcW w:type="dxa" w:w="1928"/>
            <w:vAlign w:val="top"/>
          </w:tcPr>
          <w:p>
            <w:pPr>
              <w:spacing w:after="20"/>
            </w:pPr>
            <w:r>
              <w:rPr>
                <w:rFonts w:ascii="Arial" w:hAnsi="Arial"/>
                <w:b/>
                <w:color w:val="5C6266"/>
                <w:sz w:val="17"/>
              </w:rPr>
              <w:t>Bearbeitung</w:t>
            </w:r>
          </w:p>
        </w:tc>
        <w:tc>
          <w:tcPr>
            <w:tcW w:type="dxa" w:w="7313"/>
            <w:vAlign w:val="top"/>
          </w:tcPr>
          <w:p>
            <w:pPr>
              <w:spacing w:after="20"/>
            </w:pPr>
            <w:r>
              <w:rPr>
                <w:rFonts w:ascii="Arial" w:hAnsi="Arial"/>
                <w:sz w:val="18"/>
              </w:rPr>
              <w:t>13.05. bis 16.05.2026</w:t>
            </w:r>
          </w:p>
        </w:tc>
      </w:tr>
      <w:tr>
        <w:tc>
          <w:tcPr>
            <w:tcW w:type="dxa" w:w="1928"/>
            <w:vAlign w:val="top"/>
          </w:tcPr>
          <w:p>
            <w:pPr>
              <w:spacing w:after="20"/>
            </w:pPr>
            <w:r>
              <w:rPr>
                <w:rFonts w:ascii="Arial" w:hAnsi="Arial"/>
                <w:b/>
                <w:color w:val="5C6266"/>
                <w:sz w:val="17"/>
              </w:rPr>
              <w:t>Ausgabe</w:t>
            </w:r>
          </w:p>
        </w:tc>
        <w:tc>
          <w:tcPr>
            <w:tcW w:type="dxa" w:w="7313"/>
            <w:vAlign w:val="top"/>
          </w:tcPr>
          <w:p>
            <w:pPr>
              <w:spacing w:after="20"/>
            </w:pPr>
            <w:r>
              <w:rPr>
                <w:rFonts w:ascii="Arial" w:hAnsi="Arial"/>
                <w:sz w:val="18"/>
              </w:rPr>
              <w:t>18.05.2026</w:t>
            </w:r>
          </w:p>
        </w:tc>
      </w:tr>
    </w:tbl>
    <w:p>
      <w:pPr>
        <w:spacing w:after="40"/>
      </w:pPr>
    </w:p>
    <w:p>
      <w:pPr>
        <w:pStyle w:val="Heading1"/>
      </w:pPr>
      <w:r>
        <w:t>1. Displaytausch</w:t>
      </w:r>
    </w:p>
    <w:p>
      <w:pPr>
        <w:widowControl/>
        <w:jc w:val="both"/>
      </w:pPr>
      <w:r>
        <w:t>Am 13. Mai wurde die Displayeinheit ersetzt. Beim ersten Start erschien das Herstellerlogo, anschließend eine Neustartschleife. Das alte Display wurde testweise wieder angeschlossen; die Schleife blieb bestehen. Der Akku zeigte 41 Prozent.</w:t>
      </w:r>
    </w:p>
    <w:p>
      <w:pPr>
        <w:widowControl/>
        <w:jc w:val="both"/>
      </w:pPr>
      <w:r>
        <w:t>Das Diagnosetool meldete Fehler Storage controller timeout und Feuchtigkeitshistorie 0. Ein Software-Reset ohne Löschen schlug fehl. Am 14. Mai wurde ein Ersatz-Mainboard eingesetzt. Das Gerät startete danach mit leerem Benutzerspeicher.</w:t>
      </w:r>
    </w:p>
    <w:p>
      <w:pPr>
        <w:pStyle w:val="Heading1"/>
      </w:pPr>
      <w:r>
        <w:t>2. Freigabe und Altteil</w:t>
      </w:r>
    </w:p>
    <w:p>
      <w:pPr>
        <w:widowControl/>
        <w:jc w:val="both"/>
      </w:pPr>
      <w:r>
        <w:t>Im System steht telefonische Freigabe Mainboard bis 389 EUR, 14.05., 16:07, Gespräch 54 Sekunden. Eine Tonaufzeichnung existiert nicht. Mitarbeiter Mika Lorenz erinnert sich, er habe gesagt, Daten können dann weg sein; die Kundin erinnert sich nur an Gerät startet sonst nicht.</w:t>
      </w:r>
    </w:p>
    <w:p>
      <w:pPr>
        <w:widowControl/>
        <w:jc w:val="both"/>
      </w:pPr>
      <w:r>
        <w:t>Das alte Mainboard wurde am 20. Mai an den Teilehändler zurückgesandt und mit 45 EUR gutgeschrieben. Eine spätere Datenrettung ist nur möglich, wenn das Teil zurückgekauft werden kann. Der Händler meldete am 2. Juni, die Charge sei bereits zerlegt.</w:t>
      </w:r>
    </w:p>
    <w:p/>
    <w:p>
      <w:r>
        <w:rPr>
          <w:b/>
        </w:rPr>
        <w:t>Daniel Schenk</w:t>
      </w:r>
    </w:p>
    <w:p>
      <w:r>
        <w:t>Inhaber und Techniker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PhoneDock Jena  |  Technikarbeitsplatz 2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PhoneDock Jena</w:t>
          </w:r>
          <w:r>
            <w:rPr>
              <w:rFonts w:ascii="Arial" w:hAnsi="Arial"/>
              <w:color w:val="5C6266"/>
              <w:sz w:val="17"/>
            </w:rPr>
            <w:br/>
            <w:t>Technikarbeitsplatz 2</w:t>
          </w:r>
        </w:p>
      </w:tc>
      <w:tc>
        <w:tcPr>
          <w:tcW w:type="dxa" w:w="3742"/>
        </w:tcPr>
        <w:p>
          <w:pPr>
            <w:spacing w:after="0"/>
            <w:jc w:val="right"/>
          </w:pPr>
          <w:r>
            <w:rPr>
              <w:rFonts w:ascii="Arial" w:hAnsi="Arial"/>
              <w:color w:val="5C6266"/>
              <w:sz w:val="15"/>
            </w:rPr>
            <w:t>Löbdergraben 18 · 07743 Jena</w:t>
            <w:br/>
            <w:t>Telefon 03641 559 18 20 · service@phonedock-jena.de</w:t>
            <w:br/>
            <w:t>Inhaber Daniel Schenk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