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Kündigung und Gesamtfälligstellung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Vertrag</w:t>
            </w:r>
          </w:p>
        </w:tc>
        <w:tc>
          <w:tcPr>
            <w:tcW w:type="dxa" w:w="7313"/>
            <w:vAlign w:val="top"/>
          </w:tcPr>
          <w:p>
            <w:pPr>
              <w:spacing w:after="20"/>
            </w:pPr>
            <w:r>
              <w:rPr>
                <w:rFonts w:ascii="Arial" w:hAnsi="Arial"/>
                <w:sz w:val="18"/>
              </w:rPr>
              <w:t>HK-260209-8841</w:t>
            </w:r>
          </w:p>
        </w:tc>
      </w:tr>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18.08.2026</w:t>
            </w:r>
          </w:p>
        </w:tc>
      </w:tr>
      <w:tr>
        <w:tc>
          <w:tcPr>
            <w:tcW w:type="dxa" w:w="1928"/>
            <w:vAlign w:val="top"/>
          </w:tcPr>
          <w:p>
            <w:pPr>
              <w:spacing w:after="20"/>
            </w:pPr>
            <w:r>
              <w:rPr>
                <w:rFonts w:ascii="Arial" w:hAnsi="Arial"/>
                <w:b/>
                <w:color w:val="5C6266"/>
                <w:sz w:val="17"/>
              </w:rPr>
              <w:t>Rückstand</w:t>
            </w:r>
          </w:p>
        </w:tc>
        <w:tc>
          <w:tcPr>
            <w:tcW w:type="dxa" w:w="7313"/>
            <w:vAlign w:val="top"/>
          </w:tcPr>
          <w:p>
            <w:pPr>
              <w:spacing w:after="20"/>
            </w:pPr>
            <w:r>
              <w:rPr>
                <w:rFonts w:ascii="Arial" w:hAnsi="Arial"/>
                <w:sz w:val="18"/>
              </w:rPr>
              <w:t>466.28 EUR</w:t>
            </w:r>
          </w:p>
        </w:tc>
      </w:tr>
      <w:tr>
        <w:tc>
          <w:tcPr>
            <w:tcW w:type="dxa" w:w="1928"/>
            <w:vAlign w:val="top"/>
          </w:tcPr>
          <w:p>
            <w:pPr>
              <w:spacing w:after="20"/>
            </w:pPr>
            <w:r>
              <w:rPr>
                <w:rFonts w:ascii="Arial" w:hAnsi="Arial"/>
                <w:b/>
                <w:color w:val="5C6266"/>
                <w:sz w:val="17"/>
              </w:rPr>
              <w:t>Gesamtforderung</w:t>
            </w:r>
          </w:p>
        </w:tc>
        <w:tc>
          <w:tcPr>
            <w:tcW w:type="dxa" w:w="7313"/>
            <w:vAlign w:val="top"/>
          </w:tcPr>
          <w:p>
            <w:pPr>
              <w:spacing w:after="20"/>
            </w:pPr>
            <w:r>
              <w:rPr>
                <w:rFonts w:ascii="Arial" w:hAnsi="Arial"/>
                <w:sz w:val="18"/>
              </w:rPr>
              <w:t>6928.44 EUR</w:t>
            </w:r>
          </w:p>
        </w:tc>
      </w:tr>
    </w:tbl>
    <w:p>
      <w:pPr>
        <w:spacing w:after="40"/>
      </w:pPr>
    </w:p>
    <w:p>
      <w:pPr>
        <w:pStyle w:val="Heading1"/>
      </w:pPr>
      <w:r>
        <w:t>1. Zahlungsverlauf</w:t>
      </w:r>
    </w:p>
    <w:p>
      <w:pPr>
        <w:widowControl/>
        <w:jc w:val="both"/>
      </w:pPr>
      <w:r>
        <w:t>Die Raten April bis Juni wurden eingezogen. Die Lastschriften Juli und August wurden mangels Deckung zurückgegeben. Mit Schreiben vom 5. August setzte die Bank eine Zahlungsfrist bis 17. August und kündigte die Gesamtfälligstellung an.</w:t>
      </w:r>
    </w:p>
    <w:p>
      <w:pPr>
        <w:widowControl/>
        <w:jc w:val="both"/>
      </w:pPr>
      <w:r>
        <w:t>Das Schreiben vom 5. August ging laut Einwurfprotokoll am 8. August an der Lindenstraße 48 zu. Jasmin Berger wohnt dort weiterhin. Oliver Hahn hatte der Bank am 12. Mai telefonisch seine neue Anschrift genannt; ein schriftlicher Nachweis liegt der Bank nicht vor.</w:t>
      </w:r>
    </w:p>
    <w:p>
      <w:pPr>
        <w:pStyle w:val="Heading1"/>
      </w:pPr>
      <w:r>
        <w:t>2. Forderung</w:t>
      </w:r>
    </w:p>
    <w:p>
      <w:pPr>
        <w:widowControl/>
        <w:jc w:val="both"/>
      </w:pPr>
      <w:r>
        <w:t>Die Bank verlangt Darlehenssaldo, Verzugszinsen, zwei Rücklastschriftkosten zu je 4.50 EUR und 18 EUR Mahnkosten. Eine Erstattung aus der Ratenschutzversicherung wurde nicht beantragt.</w:t>
      </w:r>
    </w:p>
    <w:p>
      <w:pPr>
        <w:widowControl/>
        <w:jc w:val="both"/>
      </w:pPr>
      <w:r>
        <w:t>Jasmin Berger hatte am 14. August 233.14 EUR überwiesen. Die Zahlung wurde am 19. August gutgeschrieben und im Kündigungsschreiben noch nicht berücksichtigt.</w:t>
      </w:r>
    </w:p>
    <w:p/>
    <w:p>
      <w:r>
        <w:rPr>
          <w:b/>
        </w:rPr>
        <w:t>Ralf Nitz</w:t>
      </w:r>
    </w:p>
    <w:p>
      <w:r>
        <w:t>Team Kreditservice</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Havelland Kreditbank AG  |  Kreditservice und Rückstände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Havelland Kreditbank AG</w:t>
          </w:r>
          <w:r>
            <w:rPr>
              <w:rFonts w:ascii="Arial" w:hAnsi="Arial"/>
              <w:color w:val="5C6266"/>
              <w:sz w:val="17"/>
            </w:rPr>
            <w:br/>
            <w:t>Kreditservice und Rückstände</w:t>
          </w:r>
        </w:p>
      </w:tc>
      <w:tc>
        <w:tcPr>
          <w:tcW w:type="dxa" w:w="3742"/>
        </w:tcPr>
        <w:p>
          <w:pPr>
            <w:spacing w:after="0"/>
            <w:jc w:val="right"/>
          </w:pPr>
          <w:r>
            <w:rPr>
              <w:rFonts w:ascii="Arial" w:hAnsi="Arial"/>
              <w:color w:val="5C6266"/>
              <w:sz w:val="15"/>
            </w:rPr>
            <w:t>Breite Straße 29 · 14467 Potsdam</w:t>
            <w:br/>
            <w:t>Telefon 0331 701 44 0 · kreditservice@havelland-kredit.de</w:t>
            <w:br/>
            <w:t>BIC HAKRDEB1XXX</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