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Stornobestätigung und Rechnung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Absage</w:t>
            </w:r>
          </w:p>
        </w:tc>
        <w:tc>
          <w:tcPr>
            <w:tcW w:type="dxa" w:w="7313"/>
            <w:vAlign w:val="top"/>
          </w:tcPr>
          <w:p>
            <w:pPr>
              <w:spacing w:after="20"/>
            </w:pPr>
            <w:r>
              <w:rPr>
                <w:rFonts w:ascii="Arial" w:hAnsi="Arial"/>
                <w:sz w:val="18"/>
              </w:rPr>
              <w:t>09.03.2026</w:t>
            </w:r>
          </w:p>
        </w:tc>
      </w:tr>
      <w:tr>
        <w:tc>
          <w:tcPr>
            <w:tcW w:type="dxa" w:w="1928"/>
            <w:vAlign w:val="top"/>
          </w:tcPr>
          <w:p>
            <w:pPr>
              <w:spacing w:after="20"/>
            </w:pPr>
            <w:r>
              <w:rPr>
                <w:rFonts w:ascii="Arial" w:hAnsi="Arial"/>
                <w:b/>
                <w:color w:val="5C6266"/>
                <w:sz w:val="17"/>
              </w:rPr>
              <w:t>Veranstaltung</w:t>
            </w:r>
          </w:p>
        </w:tc>
        <w:tc>
          <w:tcPr>
            <w:tcW w:type="dxa" w:w="7313"/>
            <w:vAlign w:val="top"/>
          </w:tcPr>
          <w:p>
            <w:pPr>
              <w:spacing w:after="20"/>
            </w:pPr>
            <w:r>
              <w:rPr>
                <w:rFonts w:ascii="Arial" w:hAnsi="Arial"/>
                <w:sz w:val="18"/>
              </w:rPr>
              <w:t>21.08.2026</w:t>
            </w:r>
          </w:p>
        </w:tc>
      </w:tr>
      <w:tr>
        <w:tc>
          <w:tcPr>
            <w:tcW w:type="dxa" w:w="1928"/>
            <w:vAlign w:val="top"/>
          </w:tcPr>
          <w:p>
            <w:pPr>
              <w:spacing w:after="20"/>
            </w:pPr>
            <w:r>
              <w:rPr>
                <w:rFonts w:ascii="Arial" w:hAnsi="Arial"/>
                <w:b/>
                <w:color w:val="5C6266"/>
                <w:sz w:val="17"/>
              </w:rPr>
              <w:t>Stornopauschale</w:t>
            </w:r>
          </w:p>
        </w:tc>
        <w:tc>
          <w:tcPr>
            <w:tcW w:type="dxa" w:w="7313"/>
            <w:vAlign w:val="top"/>
          </w:tcPr>
          <w:p>
            <w:pPr>
              <w:spacing w:after="20"/>
            </w:pPr>
            <w:r>
              <w:rPr>
                <w:rFonts w:ascii="Arial" w:hAnsi="Arial"/>
                <w:sz w:val="18"/>
              </w:rPr>
              <w:t>5120 EUR</w:t>
            </w:r>
          </w:p>
        </w:tc>
      </w:tr>
      <w:tr>
        <w:tc>
          <w:tcPr>
            <w:tcW w:type="dxa" w:w="1928"/>
            <w:vAlign w:val="top"/>
          </w:tcPr>
          <w:p>
            <w:pPr>
              <w:spacing w:after="20"/>
            </w:pPr>
            <w:r>
              <w:rPr>
                <w:rFonts w:ascii="Arial" w:hAnsi="Arial"/>
                <w:b/>
                <w:color w:val="5C6266"/>
                <w:sz w:val="17"/>
              </w:rPr>
              <w:t>Abzüglich Anzahlung</w:t>
            </w:r>
          </w:p>
        </w:tc>
        <w:tc>
          <w:tcPr>
            <w:tcW w:type="dxa" w:w="7313"/>
            <w:vAlign w:val="top"/>
          </w:tcPr>
          <w:p>
            <w:pPr>
              <w:spacing w:after="20"/>
            </w:pPr>
            <w:r>
              <w:rPr>
                <w:rFonts w:ascii="Arial" w:hAnsi="Arial"/>
                <w:sz w:val="18"/>
              </w:rPr>
              <w:t>1920 EUR offen</w:t>
            </w:r>
          </w:p>
        </w:tc>
      </w:tr>
    </w:tbl>
    <w:p>
      <w:pPr>
        <w:spacing w:after="40"/>
      </w:pPr>
    </w:p>
    <w:p>
      <w:pPr>
        <w:pStyle w:val="Heading1"/>
      </w:pPr>
      <w:r>
        <w:t>1. Absage</w:t>
      </w:r>
    </w:p>
    <w:p>
      <w:pPr>
        <w:widowControl/>
        <w:jc w:val="both"/>
      </w:pPr>
      <w:r>
        <w:t>Nora Seifert teilte telefonisch mit, die Hochzeit werde nicht stattfinden. Elias Born schrieb am selben Tag, er habe nie einen Vertrag abgeschlossen und widerspreche einer Belastung. Die Location bestätigte die Absage, ohne zu klären, wessen Erklärung maßgeblich sei.</w:t>
      </w:r>
    </w:p>
    <w:p>
      <w:pPr>
        <w:widowControl/>
        <w:jc w:val="both"/>
      </w:pPr>
      <w:r>
        <w:t>Der Termin lag 165 Tage später. Die Location setzte 40 Prozent des Gesamtpreises an und verrechnete die Anzahlung. Eine konkrete Aufstellung ersparter Speisen, Getränke und Personalstunden ist nicht beigefügt.</w:t>
      </w:r>
    </w:p>
    <w:p>
      <w:pPr>
        <w:pStyle w:val="Heading1"/>
      </w:pPr>
      <w:r>
        <w:t>2. Weitervergabe</w:t>
      </w:r>
    </w:p>
    <w:p>
      <w:pPr>
        <w:widowControl/>
        <w:jc w:val="both"/>
      </w:pPr>
      <w:r>
        <w:t>Am 22. April reservierte ein Unternehmen die Orangerie für denselben Abend von 18:00 bis 01:00 Uhr zu 7600 EUR, ohne Terrasse und Trauung. Die Location erklärte, Aufbau und Nachmittag könnten wegen der früheren Hochzeitsplanung nicht zusätzlich vergeben werden.</w:t>
      </w:r>
    </w:p>
    <w:p>
      <w:pPr>
        <w:widowControl/>
        <w:jc w:val="both"/>
      </w:pPr>
      <w:r>
        <w:t>Miriam Born verlangt die Anzahlung zurück. Sie erklärt, nur Botengänge erledigt und nie persönlich zahlen zu wollen.</w:t>
      </w:r>
    </w:p>
    <w:p/>
    <w:p>
      <w:r>
        <w:rPr>
          <w:b/>
        </w:rPr>
        <w:t>Paula Neubert</w:t>
      </w:r>
    </w:p>
    <w:p>
      <w:r>
        <w:t>Eventmanagement</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Gut Wachwitz Veranstaltungen GmbH  |  Vertragsservice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Gut Wachwitz Veranstaltungen GmbH</w:t>
          </w:r>
          <w:r>
            <w:rPr>
              <w:rFonts w:ascii="Arial" w:hAnsi="Arial"/>
              <w:color w:val="5C6266"/>
              <w:sz w:val="17"/>
            </w:rPr>
            <w:br/>
            <w:t>Vertragsservice</w:t>
          </w:r>
        </w:p>
      </w:tc>
      <w:tc>
        <w:tcPr>
          <w:tcW w:type="dxa" w:w="3742"/>
        </w:tcPr>
        <w:p>
          <w:pPr>
            <w:spacing w:after="0"/>
            <w:jc w:val="right"/>
          </w:pPr>
          <w:r>
            <w:rPr>
              <w:rFonts w:ascii="Arial" w:hAnsi="Arial"/>
              <w:color w:val="5C6266"/>
              <w:sz w:val="15"/>
            </w:rPr>
            <w:t>Pillnitzer Landstraße 188 · 01326 Dresden</w:t>
            <w:br/>
            <w:t>Telefon 0351 261 88 40 · feiern@gut-wachwitz.de</w:t>
            <w:br/>
            <w:t>Gut Wachwitz Veranstaltungen GmbH · HRB 44108 AG Dresden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