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Gesellschafterdarlehen mit Kontenabstimmung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Vertrag</w:t>
            </w:r>
          </w:p>
        </w:tc>
        <w:tc>
          <w:tcPr>
            <w:tcW w:type="dxa" w:w="7313"/>
            <w:vAlign w:val="top"/>
          </w:tcPr>
          <w:p>
            <w:pPr>
              <w:spacing w:after="20"/>
            </w:pPr>
            <w:r>
              <w:rPr>
                <w:rFonts w:ascii="Arial" w:hAnsi="Arial"/>
                <w:sz w:val="18"/>
              </w:rPr>
              <w:t>MW-GLD-2024-01</w:t>
            </w:r>
          </w:p>
        </w:tc>
      </w:tr>
      <w:tr>
        <w:tc>
          <w:tcPr>
            <w:tcW w:type="dxa" w:w="1928"/>
            <w:vAlign w:val="top"/>
          </w:tcPr>
          <w:p>
            <w:pPr>
              <w:spacing w:after="20"/>
            </w:pPr>
            <w:r>
              <w:rPr>
                <w:rFonts w:ascii="Arial" w:hAnsi="Arial"/>
                <w:b/>
                <w:color w:val="5C6266"/>
                <w:sz w:val="17"/>
              </w:rPr>
              <w:t>Darlehensgeber</w:t>
            </w:r>
          </w:p>
        </w:tc>
        <w:tc>
          <w:tcPr>
            <w:tcW w:type="dxa" w:w="7313"/>
            <w:vAlign w:val="top"/>
          </w:tcPr>
          <w:p>
            <w:pPr>
              <w:spacing w:after="20"/>
            </w:pPr>
            <w:r>
              <w:rPr>
                <w:rFonts w:ascii="Arial" w:hAnsi="Arial"/>
                <w:sz w:val="18"/>
              </w:rPr>
              <w:t>Henrik Mertens</w:t>
            </w:r>
          </w:p>
        </w:tc>
      </w:tr>
      <w:tr>
        <w:tc>
          <w:tcPr>
            <w:tcW w:type="dxa" w:w="1928"/>
            <w:vAlign w:val="top"/>
          </w:tcPr>
          <w:p>
            <w:pPr>
              <w:spacing w:after="20"/>
            </w:pPr>
            <w:r>
              <w:rPr>
                <w:rFonts w:ascii="Arial" w:hAnsi="Arial"/>
                <w:b/>
                <w:color w:val="5C6266"/>
                <w:sz w:val="17"/>
              </w:rPr>
              <w:t>Valuta</w:t>
            </w:r>
          </w:p>
        </w:tc>
        <w:tc>
          <w:tcPr>
            <w:tcW w:type="dxa" w:w="7313"/>
            <w:vAlign w:val="top"/>
          </w:tcPr>
          <w:p>
            <w:pPr>
              <w:spacing w:after="20"/>
            </w:pPr>
            <w:r>
              <w:rPr>
                <w:rFonts w:ascii="Arial" w:hAnsi="Arial"/>
                <w:sz w:val="18"/>
              </w:rPr>
              <w:t>180000 EUR</w:t>
            </w:r>
          </w:p>
        </w:tc>
      </w:tr>
      <w:tr>
        <w:tc>
          <w:tcPr>
            <w:tcW w:type="dxa" w:w="1928"/>
            <w:vAlign w:val="top"/>
          </w:tcPr>
          <w:p>
            <w:pPr>
              <w:spacing w:after="20"/>
            </w:pPr>
            <w:r>
              <w:rPr>
                <w:rFonts w:ascii="Arial" w:hAnsi="Arial"/>
                <w:b/>
                <w:color w:val="5C6266"/>
                <w:sz w:val="17"/>
              </w:rPr>
              <w:t>Laufzeit</w:t>
            </w:r>
          </w:p>
        </w:tc>
        <w:tc>
          <w:tcPr>
            <w:tcW w:type="dxa" w:w="7313"/>
            <w:vAlign w:val="top"/>
          </w:tcPr>
          <w:p>
            <w:pPr>
              <w:spacing w:after="20"/>
            </w:pPr>
            <w:r>
              <w:rPr>
                <w:rFonts w:ascii="Arial" w:hAnsi="Arial"/>
                <w:sz w:val="18"/>
              </w:rPr>
              <w:t>01.02.2024 bis 31.01.2027</w:t>
            </w:r>
          </w:p>
        </w:tc>
      </w:tr>
    </w:tbl>
    <w:p>
      <w:pPr>
        <w:spacing w:after="40"/>
      </w:pPr>
    </w:p>
    <w:p>
      <w:pPr>
        <w:pStyle w:val="Heading1"/>
      </w:pPr>
      <w:r>
        <w:t>1. Vertragsbedingungen</w:t>
      </w:r>
    </w:p>
    <w:p>
      <w:pPr>
        <w:widowControl/>
        <w:jc w:val="both"/>
      </w:pPr>
      <w:r>
        <w:t>Das Darlehen wird mit 7.5 Prozent jährlich verzinst. Zinsen sind jeweils zum 31. Dezember fällig. Die Tilgung erfolgt in sechs halbjährlichen Raten zu 30000 EUR ab 30. Juni 2024. Sicherheiten sind nicht bestellt. Eine vorzeitige Rückzahlung ist jederzeit möglich.</w:t>
      </w:r>
    </w:p>
    <w:p>
      <w:pPr>
        <w:widowControl/>
        <w:jc w:val="both"/>
      </w:pPr>
      <w:r>
        <w:t>Die Valuta ging am 2. Februar 2024 auf dem Geschäftskonto ein. Die erste Tilgungsrate wurde am 28. Juni gezahlt. Weitere vertragliche Raten sind auf dem Bankkonto nicht erkennbar. Am 15. August 2025 überwies die GmbH 42000 EUR mit dem Verwendungszweck Rückzahlung privat; die Buchhaltung erfasste 30000 EUR als Tilgung und 12000 EUR als Verrechnungskonto Gesellschafter.</w:t>
      </w:r>
    </w:p>
    <w:p>
      <w:pPr>
        <w:pStyle w:val="Heading1"/>
      </w:pPr>
      <w:r>
        <w:t>2. Zinsbuchungen und Liquidität</w:t>
      </w:r>
    </w:p>
    <w:p>
      <w:pPr>
        <w:widowControl/>
        <w:jc w:val="both"/>
      </w:pPr>
      <w:r>
        <w:t>Für 2024 wurden 12375 EUR Zinsen aufwandswirksam gebucht und am 10. Januar 2025 gezahlt. Für 2025 wurden 11250 EUR gebucht, aber bis zum 31. März 2026 nicht ausgezahlt. Der Kontokorrentkredit der Hausbank war im Dezember 2025 mit 148000 EUR von 150000 EUR ausgeschöpft.</w:t>
      </w:r>
    </w:p>
    <w:p>
      <w:pPr>
        <w:widowControl/>
        <w:jc w:val="both"/>
      </w:pPr>
      <w:r>
        <w:t>Henrik Mertens erklärte der Buchhaltung am 22. Dezember telefonisch, die Zinsen könnten stehen bleiben. Eine schriftliche Stundung liegt nicht vor. Das Darlehenskonto weist nach der Umbuchung vom August einen Saldo von 120000 EUR aus.</w:t>
      </w:r>
    </w:p>
    <w:p/>
    <w:p>
      <w:r>
        <w:rPr>
          <w:b/>
        </w:rPr>
        <w:t>Leonie Frank</w:t>
      </w:r>
    </w:p>
    <w:p>
      <w:r>
        <w:t>Finanzbuchhaltung</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Mertens Wärmebau GmbH  |  Finanzierung Wärmepumpenlager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Mertens Wärmebau GmbH</w:t>
          </w:r>
          <w:r>
            <w:rPr>
              <w:rFonts w:ascii="Arial" w:hAnsi="Arial"/>
              <w:color w:val="5C6266"/>
              <w:sz w:val="17"/>
            </w:rPr>
            <w:br/>
            <w:t>Finanzierung Wärmepumpenlager</w:t>
          </w:r>
        </w:p>
      </w:tc>
      <w:tc>
        <w:tcPr>
          <w:tcW w:type="dxa" w:w="3742"/>
        </w:tcPr>
        <w:p>
          <w:pPr>
            <w:spacing w:after="0"/>
            <w:jc w:val="right"/>
          </w:pPr>
          <w:r>
            <w:rPr>
              <w:rFonts w:ascii="Arial" w:hAnsi="Arial"/>
              <w:color w:val="5C6266"/>
              <w:sz w:val="15"/>
            </w:rPr>
            <w:t>Laubanger 12 · 96052 Bamberg</w:t>
            <w:br/>
            <w:t>Telefon 0951 208 71 40 · Fax 0951 208 71 49</w:t>
            <w:br/>
            <w:t>buero@mertens-waermebau.de · HRB 10844 AG Bamberg</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