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Rahmenvertrag Brückenmonitoring Moselbogen</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Vertrag</w:t>
            </w:r>
          </w:p>
        </w:tc>
        <w:tc>
          <w:tcPr>
            <w:tcW w:type="dxa" w:w="7313"/>
            <w:vAlign w:val="top"/>
          </w:tcPr>
          <w:p>
            <w:pPr>
              <w:spacing w:after="20"/>
            </w:pPr>
            <w:r>
              <w:rPr>
                <w:rFonts w:ascii="Arial" w:hAnsi="Arial"/>
                <w:sz w:val="18"/>
              </w:rPr>
              <w:t>LT-25-044</w:t>
            </w:r>
          </w:p>
        </w:tc>
      </w:tr>
      <w:tr>
        <w:tc>
          <w:tcPr>
            <w:tcW w:type="dxa" w:w="1928"/>
            <w:vAlign w:val="top"/>
          </w:tcPr>
          <w:p>
            <w:pPr>
              <w:spacing w:after="20"/>
            </w:pPr>
            <w:r>
              <w:rPr>
                <w:rFonts w:ascii="Arial" w:hAnsi="Arial"/>
                <w:b/>
                <w:color w:val="5C6266"/>
                <w:sz w:val="17"/>
              </w:rPr>
              <w:t>Auftraggeber</w:t>
            </w:r>
          </w:p>
        </w:tc>
        <w:tc>
          <w:tcPr>
            <w:tcW w:type="dxa" w:w="7313"/>
            <w:vAlign w:val="top"/>
          </w:tcPr>
          <w:p>
            <w:pPr>
              <w:spacing w:after="20"/>
            </w:pPr>
            <w:r>
              <w:rPr>
                <w:rFonts w:ascii="Arial" w:hAnsi="Arial"/>
                <w:sz w:val="18"/>
              </w:rPr>
              <w:t>Rheinbrücke Projekt GmbH, Andernach</w:t>
            </w:r>
          </w:p>
        </w:tc>
      </w:tr>
      <w:tr>
        <w:tc>
          <w:tcPr>
            <w:tcW w:type="dxa" w:w="1928"/>
            <w:vAlign w:val="top"/>
          </w:tcPr>
          <w:p>
            <w:pPr>
              <w:spacing w:after="20"/>
            </w:pPr>
            <w:r>
              <w:rPr>
                <w:rFonts w:ascii="Arial" w:hAnsi="Arial"/>
                <w:b/>
                <w:color w:val="5C6266"/>
                <w:sz w:val="17"/>
              </w:rPr>
              <w:t>Laufzeit</w:t>
            </w:r>
          </w:p>
        </w:tc>
        <w:tc>
          <w:tcPr>
            <w:tcW w:type="dxa" w:w="7313"/>
            <w:vAlign w:val="top"/>
          </w:tcPr>
          <w:p>
            <w:pPr>
              <w:spacing w:after="20"/>
            </w:pPr>
            <w:r>
              <w:rPr>
                <w:rFonts w:ascii="Arial" w:hAnsi="Arial"/>
                <w:sz w:val="18"/>
              </w:rPr>
              <w:t>01.03.2025 bis 28.02.2027</w:t>
            </w:r>
          </w:p>
        </w:tc>
      </w:tr>
      <w:tr>
        <w:tc>
          <w:tcPr>
            <w:tcW w:type="dxa" w:w="1928"/>
            <w:vAlign w:val="top"/>
          </w:tcPr>
          <w:p>
            <w:pPr>
              <w:spacing w:after="20"/>
            </w:pPr>
            <w:r>
              <w:rPr>
                <w:rFonts w:ascii="Arial" w:hAnsi="Arial"/>
                <w:b/>
                <w:color w:val="5C6266"/>
                <w:sz w:val="17"/>
              </w:rPr>
              <w:t>Nettohöchstwert</w:t>
            </w:r>
          </w:p>
        </w:tc>
        <w:tc>
          <w:tcPr>
            <w:tcW w:type="dxa" w:w="7313"/>
            <w:vAlign w:val="top"/>
          </w:tcPr>
          <w:p>
            <w:pPr>
              <w:spacing w:after="20"/>
            </w:pPr>
            <w:r>
              <w:rPr>
                <w:rFonts w:ascii="Arial" w:hAnsi="Arial"/>
                <w:sz w:val="18"/>
              </w:rPr>
              <w:t>248000 EUR</w:t>
            </w:r>
          </w:p>
        </w:tc>
      </w:tr>
    </w:tbl>
    <w:p>
      <w:pPr>
        <w:spacing w:after="40"/>
      </w:pPr>
    </w:p>
    <w:p>
      <w:pPr>
        <w:pStyle w:val="Heading1"/>
      </w:pPr>
      <w:r>
        <w:t>1. Leistungen</w:t>
      </w:r>
    </w:p>
    <w:p>
      <w:pPr>
        <w:widowControl/>
        <w:jc w:val="both"/>
      </w:pPr>
      <w:r>
        <w:t>Eva Langen übernimmt die statische Konzeption, Auswahl der Messpunkte, Plausibilitätsprüfung der Messreihen und Freigabe der Quartalsberichte. Das Büro installiert zwölf Messmodule LM-4 am Bauwerk. Rohdaten werden automatisiert an SpanCheck übertragen. Mitarbeiterin Lena Kapp betreut Installation und Datenbereinigung; Bauingenieur Fabian Kurz erstellt erste Diagramme.</w:t>
      </w:r>
    </w:p>
    <w:p>
      <w:pPr>
        <w:widowControl/>
        <w:jc w:val="both"/>
      </w:pPr>
      <w:r>
        <w:t>Die Auftraggeberin erhält einen Zugang zur Software, jedoch kein ausschließliches Nutzungsrecht. Für jedes aktive Messmodul werden monatlich 145 EUR Serviceentgelt berechnet. Defekte Module tauscht das Büro aus einem eigenen Bestand aus. Module bleiben im Eigentum von Eva Langen, sofern eine Einzelbestellung nichts anderes bestimmt.</w:t>
      </w:r>
    </w:p>
    <w:p>
      <w:pPr>
        <w:pStyle w:val="Heading1"/>
      </w:pPr>
      <w:r>
        <w:t>2. Abnahme und Verantwortung</w:t>
      </w:r>
    </w:p>
    <w:p>
      <w:pPr>
        <w:widowControl/>
        <w:jc w:val="both"/>
      </w:pPr>
      <w:r>
        <w:t>Quartalsberichte gelten zehn Werktage nach Zugang als abgenommen, wenn keine konkreten Messfehler bezeichnet werden. Die fachliche Schlussfolgerung trägt den Freigabevermerk Eva Langen. Bei Abwesenheit darf Fabian Kurz lediglich Rohdatenberichte versenden. Alarmmeldungen über Grenzwertüberschreitungen gehen parallel an Auftraggeberin und Eva Langen.</w:t>
      </w:r>
    </w:p>
    <w:p>
      <w:pPr>
        <w:widowControl/>
        <w:jc w:val="both"/>
      </w:pPr>
      <w:r>
        <w:t>Die Rechnung trennt Konzeptionsstunden, Installationspauschale, Modulmiete und Softwarezugang. Reisekosten werden nach Beleg abgerechnet. Die Parteien führen für jedes Bauwerk ein Übergabeprotokoll mit Seriennummer, Messpunkt und Kalibrierstand.</w:t>
      </w:r>
    </w:p>
    <w:p/>
    <w:p>
      <w:r>
        <w:rPr>
          <w:b/>
        </w:rPr>
        <w:t>Eva Langen</w:t>
      </w:r>
    </w:p>
    <w:p>
      <w:r>
        <w:t>Diplom-Ingenieurin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Langen Tragwerk und Monitoring  |  Dipl.-Ing. Eva Langen · Beratende Ingenieurin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Langen Tragwerk und Monitoring</w:t>
          </w:r>
          <w:r>
            <w:rPr>
              <w:rFonts w:ascii="Arial" w:hAnsi="Arial"/>
              <w:color w:val="5C6266"/>
              <w:sz w:val="17"/>
            </w:rPr>
            <w:br/>
            <w:t>Dipl.-Ing. Eva Langen · Beratende Ingenieurin</w:t>
          </w:r>
        </w:p>
      </w:tc>
      <w:tc>
        <w:tcPr>
          <w:tcW w:type="dxa" w:w="3742"/>
        </w:tcPr>
        <w:p>
          <w:pPr>
            <w:spacing w:after="0"/>
            <w:jc w:val="right"/>
          </w:pPr>
          <w:r>
            <w:rPr>
              <w:rFonts w:ascii="Arial" w:hAnsi="Arial"/>
              <w:color w:val="5C6266"/>
              <w:sz w:val="15"/>
            </w:rPr>
            <w:t>Casinostraße 38 · 56068 Koblenz</w:t>
            <w:br/>
            <w:t>Telefon 0261 973 42 10 · planung@langen-tragwerk.de</w:t>
            <w:br/>
            <w:t>Steuernummer 22/118/08741 · IBAN DE45 5705 0120 0048 1192 31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