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Sachverhaltsdarstellung für die Besprechung</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Mandat</w:t>
            </w:r>
          </w:p>
        </w:tc>
        <w:tc>
          <w:tcPr>
            <w:tcW w:type="dxa" w:w="7313"/>
            <w:vAlign w:val="top"/>
          </w:tcPr>
          <w:p>
            <w:pPr>
              <w:spacing w:after="20"/>
            </w:pPr>
            <w:r>
              <w:rPr>
                <w:rFonts w:ascii="Arial" w:hAnsi="Arial"/>
                <w:sz w:val="18"/>
              </w:rPr>
              <w:t>Eva Langen / 2025</w:t>
            </w:r>
          </w:p>
        </w:tc>
      </w:tr>
      <w:tr>
        <w:tc>
          <w:tcPr>
            <w:tcW w:type="dxa" w:w="1928"/>
            <w:vAlign w:val="top"/>
          </w:tcPr>
          <w:p>
            <w:pPr>
              <w:spacing w:after="20"/>
            </w:pPr>
            <w:r>
              <w:rPr>
                <w:rFonts w:ascii="Arial" w:hAnsi="Arial"/>
                <w:b/>
                <w:color w:val="5C6266"/>
                <w:sz w:val="17"/>
              </w:rPr>
              <w:t>Aktenzeichen</w:t>
            </w:r>
          </w:p>
        </w:tc>
        <w:tc>
          <w:tcPr>
            <w:tcW w:type="dxa" w:w="7313"/>
            <w:vAlign w:val="top"/>
          </w:tcPr>
          <w:p>
            <w:pPr>
              <w:spacing w:after="20"/>
            </w:pPr>
            <w:r>
              <w:rPr>
                <w:rFonts w:ascii="Arial" w:hAnsi="Arial"/>
                <w:sz w:val="18"/>
              </w:rPr>
              <w:t>KL-EL-2026-31</w:t>
            </w:r>
          </w:p>
        </w:tc>
      </w:tr>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03.06.2026</w:t>
            </w:r>
          </w:p>
        </w:tc>
      </w:tr>
      <w:tr>
        <w:tc>
          <w:tcPr>
            <w:tcW w:type="dxa" w:w="1928"/>
            <w:vAlign w:val="top"/>
          </w:tcPr>
          <w:p>
            <w:pPr>
              <w:spacing w:after="20"/>
            </w:pPr>
            <w:r>
              <w:rPr>
                <w:rFonts w:ascii="Arial" w:hAnsi="Arial"/>
                <w:b/>
                <w:color w:val="5C6266"/>
                <w:sz w:val="17"/>
              </w:rPr>
              <w:t>Bearbeitung</w:t>
            </w:r>
          </w:p>
        </w:tc>
        <w:tc>
          <w:tcPr>
            <w:tcW w:type="dxa" w:w="7313"/>
            <w:vAlign w:val="top"/>
          </w:tcPr>
          <w:p>
            <w:pPr>
              <w:spacing w:after="20"/>
            </w:pPr>
            <w:r>
              <w:rPr>
                <w:rFonts w:ascii="Arial" w:hAnsi="Arial"/>
                <w:sz w:val="18"/>
              </w:rPr>
              <w:t>StB Judith Konrad</w:t>
            </w:r>
          </w:p>
        </w:tc>
      </w:tr>
    </w:tbl>
    <w:p>
      <w:pPr>
        <w:spacing w:after="40"/>
      </w:pPr>
    </w:p>
    <w:p>
      <w:pPr>
        <w:pStyle w:val="Heading1"/>
      </w:pPr>
      <w:r>
        <w:t>1. Unterlagenstand</w:t>
      </w:r>
    </w:p>
    <w:p>
      <w:pPr>
        <w:widowControl/>
        <w:jc w:val="both"/>
      </w:pPr>
      <w:r>
        <w:t>Vorliegen: Einkommensteuer- und Umsatzsteuererklärungen 2025, EÜR, Ausgangsrechnungen, Rahmenvertrag Moselbogen, Produktliste und Zeiterfassung. Noch nicht vollständig vorliegen die Verträge mit Codehafen UG, Seriennummernliste der Module und Freigabeverläufe für die im November versandten Kurzberichte.</w:t>
      </w:r>
    </w:p>
    <w:p>
      <w:pPr>
        <w:widowControl/>
        <w:jc w:val="both"/>
      </w:pPr>
      <w:r>
        <w:t>Die Buchhaltung verwendet ein gemeinsames Bankkonto und einen einheitlichen Nummernkreis. Rechnungen weisen einzelne Leistungszeilen aus, aber keine gesonderten Kostenstellen. Die Website bezeichnet das Büro zugleich als Ingenieurbüro und Anbieter des SpanCheck-Messsystems.</w:t>
      </w:r>
    </w:p>
    <w:p>
      <w:pPr>
        <w:pStyle w:val="Heading1"/>
      </w:pPr>
      <w:r>
        <w:t>2. Offene Tatsachenfragen</w:t>
      </w:r>
    </w:p>
    <w:p>
      <w:pPr>
        <w:widowControl/>
        <w:jc w:val="both"/>
      </w:pPr>
      <w:r>
        <w:t>Zu klären ist, ob die 18 verkauften Module stets mit Installation oder auch ohne weitere Ingenieurleistung geliefert wurden. Bei den Stadtwerken Neuwied wurden Module vermietet; monatliche Reports erstellte Lena Kapp. Eva Langen nahm nach eigener Angabe nur bei Grenzwertmeldungen eine fachliche Prüfung vor.</w:t>
      </w:r>
    </w:p>
    <w:p>
      <w:pPr>
        <w:widowControl/>
        <w:jc w:val="both"/>
      </w:pPr>
      <w:r>
        <w:t>Weiter fehlen genaue Zeitpunkte für Abnahme und Zahlung des Moselbogen-Berichts Dezember 2025. Die Bankgutschrift am 4. Januar 2026 war am selben Tag verfügbar. Der Kunde hatte am 22. Dezember per E-Mail zwei Diagrammbezeichnungen beanstandet, den statischen Inhalt aber nicht kommentiert.</w:t>
      </w:r>
    </w:p>
    <w:p/>
    <w:p>
      <w:r>
        <w:rPr>
          <w:b/>
        </w:rPr>
        <w:t>Judith Konrad</w:t>
      </w:r>
    </w:p>
    <w:p>
      <w:r>
        <w:t>Steuerberaterin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Steuerkanzlei Konrad &amp; Lenz  |  Steuerberaterinnen · Jahresabschluss · Unternehmenssteuerrecht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Steuerkanzlei Konrad &amp; Lenz</w:t>
          </w:r>
          <w:r>
            <w:rPr>
              <w:rFonts w:ascii="Arial" w:hAnsi="Arial"/>
              <w:color w:val="5C6266"/>
              <w:sz w:val="17"/>
            </w:rPr>
            <w:br/>
            <w:t>Steuerberaterinnen · Jahresabschluss · Unternehmenssteuerrecht</w:t>
          </w:r>
        </w:p>
      </w:tc>
      <w:tc>
        <w:tcPr>
          <w:tcW w:type="dxa" w:w="3742"/>
        </w:tcPr>
        <w:p>
          <w:pPr>
            <w:spacing w:after="0"/>
            <w:jc w:val="right"/>
          </w:pPr>
          <w:r>
            <w:rPr>
              <w:rFonts w:ascii="Arial" w:hAnsi="Arial"/>
              <w:color w:val="5C6266"/>
              <w:sz w:val="15"/>
            </w:rPr>
            <w:t>Löhrstraße 119 · 56068 Koblenz</w:t>
            <w:br/>
            <w:t>Telefon 0261 921 08 30 · kanzlei@konrad-lenz.de</w:t>
            <w:br/>
            <w:t>Partnerschaftsregister PR 224 AG Koblenz</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