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Arbeitsbedingungen und Einsatzorganisation</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Inhaberin</w:t>
            </w:r>
          </w:p>
        </w:tc>
        <w:tc>
          <w:tcPr>
            <w:tcW w:type="dxa" w:w="7313"/>
            <w:vAlign w:val="top"/>
          </w:tcPr>
          <w:p>
            <w:pPr>
              <w:spacing w:after="20"/>
            </w:pPr>
            <w:r>
              <w:rPr>
                <w:rFonts w:ascii="Arial" w:hAnsi="Arial"/>
                <w:sz w:val="18"/>
              </w:rPr>
              <w:t>Mareike Brück</w:t>
            </w:r>
          </w:p>
        </w:tc>
      </w:tr>
      <w:tr>
        <w:tc>
          <w:tcPr>
            <w:tcW w:type="dxa" w:w="1928"/>
            <w:vAlign w:val="top"/>
          </w:tcPr>
          <w:p>
            <w:pPr>
              <w:spacing w:after="20"/>
            </w:pPr>
            <w:r>
              <w:rPr>
                <w:rFonts w:ascii="Arial" w:hAnsi="Arial"/>
                <w:b/>
                <w:color w:val="5C6266"/>
                <w:sz w:val="17"/>
              </w:rPr>
              <w:t>Beschäftigte</w:t>
            </w:r>
          </w:p>
        </w:tc>
        <w:tc>
          <w:tcPr>
            <w:tcW w:type="dxa" w:w="7313"/>
            <w:vAlign w:val="top"/>
          </w:tcPr>
          <w:p>
            <w:pPr>
              <w:spacing w:after="20"/>
            </w:pPr>
            <w:r>
              <w:rPr>
                <w:rFonts w:ascii="Arial" w:hAnsi="Arial"/>
                <w:sz w:val="18"/>
              </w:rPr>
              <w:t>fünf Arbeitnehmer</w:t>
            </w:r>
          </w:p>
        </w:tc>
      </w:tr>
      <w:tr>
        <w:tc>
          <w:tcPr>
            <w:tcW w:type="dxa" w:w="1928"/>
            <w:vAlign w:val="top"/>
          </w:tcPr>
          <w:p>
            <w:pPr>
              <w:spacing w:after="20"/>
            </w:pPr>
            <w:r>
              <w:rPr>
                <w:rFonts w:ascii="Arial" w:hAnsi="Arial"/>
                <w:b/>
                <w:color w:val="5C6266"/>
                <w:sz w:val="17"/>
              </w:rPr>
              <w:t>Stand</w:t>
            </w:r>
          </w:p>
        </w:tc>
        <w:tc>
          <w:tcPr>
            <w:tcW w:type="dxa" w:w="7313"/>
            <w:vAlign w:val="top"/>
          </w:tcPr>
          <w:p>
            <w:pPr>
              <w:spacing w:after="20"/>
            </w:pPr>
            <w:r>
              <w:rPr>
                <w:rFonts w:ascii="Arial" w:hAnsi="Arial"/>
                <w:sz w:val="18"/>
              </w:rPr>
              <w:t>01.01.2025</w:t>
            </w:r>
          </w:p>
        </w:tc>
      </w:tr>
      <w:tr>
        <w:tc>
          <w:tcPr>
            <w:tcW w:type="dxa" w:w="1928"/>
            <w:vAlign w:val="top"/>
          </w:tcPr>
          <w:p>
            <w:pPr>
              <w:spacing w:after="20"/>
            </w:pPr>
            <w:r>
              <w:rPr>
                <w:rFonts w:ascii="Arial" w:hAnsi="Arial"/>
                <w:b/>
                <w:color w:val="5C6266"/>
                <w:sz w:val="17"/>
              </w:rPr>
              <w:t>Disponent</w:t>
            </w:r>
          </w:p>
        </w:tc>
        <w:tc>
          <w:tcPr>
            <w:tcW w:type="dxa" w:w="7313"/>
            <w:vAlign w:val="top"/>
          </w:tcPr>
          <w:p>
            <w:pPr>
              <w:spacing w:after="20"/>
            </w:pPr>
            <w:r>
              <w:rPr>
                <w:rFonts w:ascii="Arial" w:hAnsi="Arial"/>
                <w:sz w:val="18"/>
              </w:rPr>
              <w:t>René Wolgast</w:t>
            </w:r>
          </w:p>
        </w:tc>
      </w:tr>
    </w:tbl>
    <w:p>
      <w:pPr>
        <w:spacing w:after="40"/>
      </w:pPr>
    </w:p>
    <w:p>
      <w:pPr>
        <w:pStyle w:val="Heading1"/>
      </w:pPr>
      <w:r>
        <w:t>1. Vertragliche Angaben</w:t>
      </w:r>
    </w:p>
    <w:p>
      <w:pPr>
        <w:widowControl/>
        <w:jc w:val="both"/>
      </w:pPr>
      <w:r>
        <w:t>Die Arbeitsverträge nennen den Betrieb Am Fischereihafen 7 als organisatorischen Ausgangspunkt. Die Arbeitnehmer werden an wechselnden Objekten in Rostock, Warnemünde, Kühlungsborn und Bad Doberan eingesetzt. Beginn und Ende sollen am Objekt erfolgen, wenn Material und Schlüssel bereits vorhanden sind.</w:t>
      </w:r>
    </w:p>
    <w:p>
      <w:pPr>
        <w:widowControl/>
        <w:jc w:val="both"/>
      </w:pPr>
      <w:r>
        <w:t>Montags holen die Teams regelmäßig Reinigungsmittel, Wäsche und Schlüssel im Betrieb ab. An anderen Tagen fährt ein Teamleiter den Transporter nach Hause und sammelt Kollegen unterwegs ein. Eine dauerhafte Zuordnung zu einem Kundenobjekt ist in den Verträgen nicht geregelt.</w:t>
      </w:r>
    </w:p>
    <w:p>
      <w:pPr>
        <w:pStyle w:val="Heading1"/>
      </w:pPr>
      <w:r>
        <w:t>2. Pauschalen und Gutscheine</w:t>
      </w:r>
    </w:p>
    <w:p>
      <w:pPr>
        <w:widowControl/>
        <w:jc w:val="both"/>
      </w:pPr>
      <w:r>
        <w:t>Für Einsatztage außerhalb Rostocks zahlte die Buchhaltung häufig 14 EUR Verpflegungspauschale, sofern die Schicht länger als acht Stunden geplant war. Tatsächliche Abwesenheitszeiten wurden nicht immer nachgetragen. Im Dezember erhielten alle Beschäftigten einen Einkaufsgutschein über 50 EUR; im Juni 2025 zusätzlich einen Tankgutschein über 44 EUR.</w:t>
      </w:r>
    </w:p>
    <w:p>
      <w:pPr>
        <w:widowControl/>
        <w:jc w:val="both"/>
      </w:pPr>
      <w:r>
        <w:t>Der Sohn der Inhaberin, Leonhard Brück, unterstützte während des Semesters bei Schlüsselverwaltung und Website. Er erhielt monatlich 420 EUR und im August 2025 einmalig 900 EUR für die Überarbeitung des Buchungskalenders.</w:t>
      </w:r>
    </w:p>
    <w:p/>
    <w:p>
      <w:r>
        <w:rPr>
          <w:b/>
        </w:rPr>
        <w:t>Mareike Brück</w:t>
      </w:r>
    </w:p>
    <w:p>
      <w:r>
        <w:t>Inhaberin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Küstenklar Gebäudeservice e. K.  |  Treppenhaus · Ferienwohnung · Glasreinigung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Küstenklar Gebäudeservice e. K.</w:t>
          </w:r>
          <w:r>
            <w:rPr>
              <w:rFonts w:ascii="Arial" w:hAnsi="Arial"/>
              <w:color w:val="5C6266"/>
              <w:sz w:val="17"/>
            </w:rPr>
            <w:br/>
            <w:t>Treppenhaus · Ferienwohnung · Glasreinigung</w:t>
          </w:r>
        </w:p>
      </w:tc>
      <w:tc>
        <w:tcPr>
          <w:tcW w:type="dxa" w:w="3742"/>
        </w:tcPr>
        <w:p>
          <w:pPr>
            <w:spacing w:after="0"/>
            <w:jc w:val="right"/>
          </w:pPr>
          <w:r>
            <w:rPr>
              <w:rFonts w:ascii="Arial" w:hAnsi="Arial"/>
              <w:color w:val="5C6266"/>
              <w:sz w:val="15"/>
            </w:rPr>
            <w:t>Am Fischereihafen 7 · 18069 Rostock</w:t>
            <w:br/>
            <w:t>Telefon 0381 660 29 10 · dispo@kuestenklar-service.de</w:t>
            <w:br/>
            <w:t>Steuernummer 079/214/06618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