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RheinMain Präzisionstechnik GmbH – Datenschutzkoordination</w:t>
      </w:r>
    </w:p>
    <w:p>
      <w:pPr>
        <w:jc w:val="left"/>
      </w:pPr>
      <w:r>
        <w:t>Verfasserin: Nora Weidemann, Legal Operations</w:t>
      </w:r>
    </w:p>
    <w:p>
      <w:pPr>
        <w:jc w:val="left"/>
      </w:pPr>
      <w:r>
        <w:t>Datum des Gesprächs: 26.05.2026, 14:10 bis 14:35 Uhr</w:t>
      </w:r>
    </w:p>
    <w:p>
      <w:pPr>
        <w:jc w:val="left"/>
      </w:pPr>
      <w:r>
        <w:t>Gesprächspartner: Herr Radomski, Hessischer Beauftragter für Datenschutz und Informationsfreiheit, Referat Wirtschaft, Beschäftigtendatenschutz und internationale Datentransfers, zum Aktenzeichen HBDI-4.2-DS-2026-0512-PTG</w:t>
      </w:r>
    </w:p>
    <w:p>
      <w:pPr>
        <w:pStyle w:val="Heading2"/>
      </w:pPr>
      <w:r>
        <w:rPr>
          <w:rFonts w:ascii="Times New Roman" w:hAnsi="Times New Roman"/>
        </w:rPr>
        <w:t>1 Anlass</w:t>
      </w:r>
    </w:p>
    <w:p>
      <w:pPr>
        <w:jc w:val="left"/>
      </w:pPr>
      <w:r>
        <w:t>Rückfrage zur Beantwortung des Auskunftsersuchens vom 12.05.2026 vor Ablauf der Frist am 04.06.2026. Ziel war zu klären, in welcher Form die Unterlagen einzureichen sind und ob Geschäftsgeheimnisse geschwärzt werden dürfen.</w:t>
      </w:r>
    </w:p>
    <w:p>
      <w:pPr>
        <w:pStyle w:val="Heading2"/>
      </w:pPr>
      <w:r>
        <w:rPr>
          <w:rFonts w:ascii="Times New Roman" w:hAnsi="Times New Roman"/>
        </w:rPr>
        <w:t>2 Gesprächsinhalt</w:t>
      </w:r>
    </w:p>
    <w:p>
      <w:pPr>
        <w:jc w:val="left"/>
      </w:pPr>
      <w:r>
        <w:t>Herr Radomski erklärte, die Vorlage per beSt oder verschlüsseltem Upload sei möglich, ein Papierdoppel sei nicht erforderlich. Schwärzungen von Preisangaben und nicht einschlägigen Vertragsteilen würden akzeptiert, wenn sie als solche gekennzeichnet und begründet sind. Die Behörde erwarte insbesondere den dokumentierten Abgleich des konkreten US-Rechtsträgers mit dem Zertifizierungsumfang; ein Screenshot der Anbieter-Website genüge dafür ausdrücklich nicht. Auf meine Frage, ob eine gestaffelte Nachreichung einzelner Nachweise möglich sei, sagte er, die Behörde nehme Nachreichungen entgegen, erwarte aber bis zum 04.06.2026 eine vollständige Darstellung des Ist-Zustands einschließlich der noch offenen Punkte. Zur Beschwerde selbst teilte er mit, der Beschwerdeführer sei ein ehemaliger Ansprechpartner eines Kunden aus dem Ersatzteilgeschäft; dessen Auskunftsantrag bei uns aus dem Februar sei nach seiner Darstellung nur unvollständig beantwortet worden. Das Beschwerdeschreiben werde uns nicht im Wortlaut überlassen.</w:t>
      </w:r>
    </w:p>
    <w:p>
      <w:pPr>
        <w:pStyle w:val="Heading2"/>
      </w:pPr>
      <w:r>
        <w:rPr>
          <w:rFonts w:ascii="Times New Roman" w:hAnsi="Times New Roman"/>
        </w:rPr>
        <w:t>3 Weiteres Vorgehen</w:t>
      </w:r>
    </w:p>
    <w:p>
      <w:pPr>
        <w:jc w:val="left"/>
      </w:pPr>
      <w:r>
        <w:t>Ich habe zugesagt, die Stellungnahme mit Anlagenpaket bis 28.05.2026 intern abzustimmen und fristgerecht einzureichen. Herr Radomski bat darum, die Rolle des im April 2026 ergänzten Unterauftragsverarbeiters gesondert darzustellen. Wiedervorlage: 02.06.2026 zur Versandkontrolle. Herr Deininger erhält Kopie dieses Vermerks mit der Bitte, den Auskunftsantrag aus dem Februar im CRM zu suchen; dazu lag mir bislang nichts vor.</w:t>
      </w:r>
    </w:p>
    <w:p>
      <w:pPr>
        <w:jc w:val="left"/>
      </w:pPr>
      <w:r>
        <w:t>Frankfurt am Main, 26.05.2026</w:t>
      </w:r>
    </w:p>
    <w:p>
      <w:pPr>
        <w:jc w:val="left"/>
      </w:pPr>
      <w:r>
        <w:t>Weidemann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RheinMain Präzisionstechnik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RheinMain Präzisionstechnik GmbH</w:t>
    </w:r>
  </w:p>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