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Vorgang: 26-RB-118, Lampe gegen Rhein-Main Drucktechnik AG und Rhein-Main Pensionskasse VVaG</w:t>
      </w:r>
    </w:p>
    <w:p>
      <w:pPr>
        <w:jc w:val="left"/>
      </w:pPr>
      <w:r>
        <w:t>Datum: 12.07.2026, 15:30 bis 16:05 Uhr, ausgehender Anruf</w:t>
      </w:r>
    </w:p>
    <w:p>
      <w:pPr>
        <w:jc w:val="left"/>
      </w:pPr>
      <w:r>
        <w:t>Gesprächspartner: Frau Brigitte Lampe; Unterzeichner; Frau Özdemir zeitweise zur Terminabstimmung</w:t>
      </w:r>
    </w:p>
    <w:p>
      <w:pPr>
        <w:pStyle w:val="Heading2"/>
      </w:pPr>
      <w:r>
        <w:rPr>
          <w:rFonts w:ascii="Times New Roman" w:hAnsi="Times New Roman"/>
        </w:rPr>
        <w:t>1 Angebotsfrist</w:t>
      </w:r>
    </w:p>
    <w:p>
      <w:pPr>
        <w:jc w:val="left"/>
      </w:pPr>
      <w:r>
        <w:t>Frau Lampe wurde informiert, dass die Angebotsfrist des Arbeitgebers am 15. Juli 2026 abläuft und eine Verlängerung angefragt ist. Frau Lampe erklärte erneut, sie wolle die Erklärung nicht unterschreiben, bevor die Auskünfte vollständig vorliegen. Sie berichtete, eine frühere Kollegin, Frau Hannelore Bieder, habe das Angebot angenommen und bereits eine Eingangsbestätigung erhalten; Frau Bieder habe ihr gesagt, bei ihr seien es 680,00 EUR gewesen. Die Kontaktdaten von Frau Bieder will Frau Lampe heraussuchen.</w:t>
      </w:r>
    </w:p>
    <w:p>
      <w:pPr>
        <w:pStyle w:val="Heading2"/>
      </w:pPr>
      <w:r>
        <w:rPr>
          <w:rFonts w:ascii="Times New Roman" w:hAnsi="Times New Roman"/>
        </w:rPr>
        <w:t>2 Unterlagen</w:t>
      </w:r>
    </w:p>
    <w:p>
      <w:pPr>
        <w:jc w:val="left"/>
      </w:pPr>
      <w:r>
        <w:t>Der Laptop wird am Mittwoch, 15. Juli 2026, ab 16:00 Uhr von der Tochter in die Geschäftsstelle gebracht. Frau Özdemir prüft, ob der E-Mail-Bestand mit dem Kanzleigerät ausgelesen werden kann, ohne das alte Programm zu starten. Die Kontoauszüge 2020 bringt Frau Lampe geschwärzt mit; ihr wurde erläutert, dass die Zahlungseingänge der Kassenrente und deren Buchungstexte lesbar bleiben müssen.</w:t>
      </w:r>
    </w:p>
    <w:p>
      <w:pPr>
        <w:pStyle w:val="Heading2"/>
      </w:pPr>
      <w:r>
        <w:rPr>
          <w:rFonts w:ascii="Times New Roman" w:hAnsi="Times New Roman"/>
        </w:rPr>
        <w:t>3 Betriebsversammlung 1999</w:t>
      </w:r>
    </w:p>
    <w:p>
      <w:pPr>
        <w:jc w:val="left"/>
      </w:pPr>
      <w:r>
        <w:t>Auf Nachfrage zur Betriebsversammlung im Frühjahr 1999 nannte Frau Lampe als weitere anwesende Personen den früheren Betriebsratsvorsitzenden Günter Achatz (nach ihrer Erinnerung 2019 verstorben) und die Kollegin Frau Bieder. Ob es ein Protokoll gab, weiß sie nicht; die Versammlung habe in der Kantine am Standort Mainzer Straße stattgefunden. Den Namen des damaligen Personalleiters erinnert sie als "Herr Dr. Reinecke oder Reinicke".</w:t>
      </w:r>
    </w:p>
    <w:p>
      <w:pPr>
        <w:pStyle w:val="Heading2"/>
      </w:pPr>
      <w:r>
        <w:rPr>
          <w:rFonts w:ascii="Times New Roman" w:hAnsi="Times New Roman"/>
        </w:rPr>
        <w:t>4 Sonstiges</w:t>
      </w:r>
    </w:p>
    <w:p>
      <w:pPr>
        <w:jc w:val="left"/>
      </w:pPr>
      <w:r>
        <w:t>Frau Lampe fragte nach den Kosten des Verfahrens; auf die bereits übergebene Vergütungsübersicht wurde verwiesen. Nächster Telefontermin: Donnerstag, 23. Juli 2026, 15:30 Uhr. Wiedervorlage: Eingang der zugesagten Rückmeldung der Konzernrevision in der 32. Kalenderwoche.</w:t>
      </w:r>
    </w:p>
    <w:p>
      <w:pPr>
        <w:jc w:val="left"/>
      </w:pPr>
      <w:r>
        <w:t>gez. Jessen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Rhein-Main Drucktechnik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Rhein-Main Drucktechnik AG</w:t>
    </w:r>
  </w:p>
  <w:p>
    <w:pPr>
      <w:jc w:val="left"/>
      <w:pBdr>
        <w:bottom w:val="single" w:sz="6" w:space="2" w:color="1F3864"/>
      </w:pBdr>
    </w:pPr>
    <w:r>
      <w:rPr>
        <w:rFonts w:ascii="Times New Roman" w:hAnsi="Times New Roman"/>
        <w:color w:val="6B6B66"/>
        <w:sz w:val="16"/>
      </w:rPr>
      <w:t>Lampe gegen Rhein-Main Drucktechnik AG und Rhein-Main Pensionskasse VVaG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