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Finanzamt Berlin-Charlottenburg</w:t>
      </w:r>
    </w:p>
    <w:p>
      <w:pPr>
        <w:jc w:val="left"/>
      </w:pPr>
      <w:r>
        <w:t>Bismarckstraße 48, 10627 Berlin · Veranlagungsstelle Körperschaften</w:t>
      </w:r>
    </w:p>
    <w:p>
      <w:pPr>
        <w:jc w:val="left"/>
      </w:pPr>
      <w:r>
        <w:t>Steuernummer: 27/118/04188 · Vorgang: Antrag auf verbindliche Auskunft vom 20.05.2026</w:t>
      </w:r>
    </w:p>
    <w:p>
      <w:pPr>
        <w:jc w:val="left"/>
      </w:pPr>
      <w:r>
        <w:t>Berlin, 18. Juni 2026</w:t>
      </w:r>
    </w:p>
    <w:p>
      <w:pPr>
        <w:jc w:val="left"/>
      </w:pPr>
      <w:r>
        <w:t>An Pinneberg, Eschberg und Partner mbB, Kantstraße 88, 10625 Berlin, als Bevollmächtigte der Strassburger Handelshof GmbH in Liquidation</w:t>
      </w:r>
    </w:p>
    <w:p>
      <w:pPr>
        <w:pStyle w:val="Heading2"/>
      </w:pPr>
      <w:r>
        <w:rPr>
          <w:rFonts w:ascii="Times New Roman" w:hAnsi="Times New Roman"/>
        </w:rPr>
        <w:t>Zwischennachricht</w:t>
      </w:r>
    </w:p>
    <w:p>
      <w:pPr>
        <w:jc w:val="left"/>
      </w:pPr>
      <w:r>
        <w:t>Sehr geehrte Frau Dr. Pinneberg-Talheim,</w:t>
      </w:r>
    </w:p>
    <w:p>
      <w:pPr>
        <w:jc w:val="left"/>
      </w:pPr>
      <w:r>
        <w:t>Ihr Antrag auf Erteilung einer verbindlichen Auskunft für die Strassburger Handelshof GmbH in Liquidation ist hier am 21. Mai 2026 eingegangen und wird unter dem oben genannten Vorgang geführt. Eine abschließende Bearbeitung ist derzeit noch nicht möglich. Zur weiteren Prüfung werden folgende Unterlagen und Angaben benötigt:</w:t>
      </w:r>
    </w:p>
    <w:p>
      <w:pPr>
        <w:jc w:val="left"/>
      </w:pPr>
      <w:r>
        <w:t>1 Die Rangrücktrittsvereinbarung vom 14. März 2021 liegt dem Antrag nur in einfacher Kopie und ohne die im Text erwähnte Anlage mit dem Tilgungsplan bei. Es wird um Übersendung einer vollständigen Ausfertigung einschließlich aller Anlagen gebeten.</w:t>
      </w:r>
    </w:p>
    <w:p>
      <w:pPr>
        <w:jc w:val="left"/>
      </w:pPr>
      <w:r>
        <w:t>2 Der Antrag schildert drei alternative Gestaltungen zur Behandlung des Gesellschafterdarlehens über 2.400.000 Euro. Es wird um verbindliche Erklärung gebeten, welche der geschilderten Gestaltungen ernsthaft geplant ist, sowie um Angabe des vorgesehenen Zeitpunkts der jeweiligen Maßnahme. Eine Auskunft zu mehreren wahlweise gestellten Sachverhalten kommt nach der hier vertretenen Verwaltungspraxis nicht in Betracht.</w:t>
      </w:r>
    </w:p>
    <w:p>
      <w:pPr>
        <w:jc w:val="left"/>
      </w:pPr>
      <w:r>
        <w:t>3 Es wird um Mitteilung gebeten, ob zum 31. Dezember 2025 festgestellte Verlustvorträge bestehen, und um Vorlage des Bescheids über die gesonderte Feststellung, hilfsweise der eingereichten Erklärung.</w:t>
      </w:r>
    </w:p>
    <w:p>
      <w:pPr>
        <w:jc w:val="left"/>
      </w:pPr>
      <w:r>
        <w:t>Für die Nachreichung wird eine Frist bis zum 31. Juli 2026 vermerkt. Die Gebühr für die Bearbeitung des Antrags wird nach Abschluss der Prüfung durch gesonderten Bescheid festgesetzt; der im Antrag angegebene Gegenstandswert von 2.400.000 Euro wird dabei zugrunde gelegt, sofern sich keine abweichenden Anhaltspunkte ergeben. Mit dieser Nachricht ist keine Entscheidung über den Antrag verbunden.</w:t>
      </w:r>
    </w:p>
    <w:p>
      <w:pPr>
        <w:jc w:val="left"/>
      </w:pPr>
      <w:r>
        <w:t>Bei Rückfragen wenden Sie sich bitte an die Unterzeichnerin, Telefon 030 9024-26317, dienstags bis donnerstags.</w:t>
      </w:r>
    </w:p>
    <w:p>
      <w:pPr>
        <w:jc w:val="left"/>
      </w:pPr>
      <w:r>
        <w:t>Mit freundlichen Grüßen</w:t>
      </w:r>
    </w:p>
    <w:p>
      <w:pPr>
        <w:jc w:val="left"/>
      </w:pPr>
      <w:r>
        <w:t>Im Auftrag</w:t>
      </w:r>
    </w:p>
    <w:p>
      <w:pPr>
        <w:jc w:val="left"/>
      </w:pPr>
      <w:r>
        <w:t>Bittkowski, Steueramtfrau</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Finanzamt Berlin-Charlottenburg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Finanzamt Berlin-Charlottenburg</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