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Zwischennachricht der Bezirksregierung Köln</w:t>
      </w:r>
    </w:p>
    <w:p>
      <w:pPr>
        <w:jc w:val="left"/>
      </w:pPr>
      <w:r>
        <w:t>Bezirksregierung Köln, Abteilung 6 — Immissionsschutz, Zeughausstraße 2–10, 50667 Köln</w:t>
      </w:r>
    </w:p>
    <w:p>
      <w:pPr>
        <w:jc w:val="left"/>
      </w:pPr>
      <w:r>
        <w:t>An den Rheinischen Umweltschutzverein e.V., z. Hd. der Geschäftsstelle</w:t>
      </w:r>
    </w:p>
    <w:p>
      <w:pPr>
        <w:jc w:val="left"/>
      </w:pPr>
      <w:r>
        <w:t>Aktenzeichen: BR-K/6-UIG-2026-011 — Ihr Zeichen: REV-2026-UIG-014</w:t>
      </w:r>
    </w:p>
    <w:p>
      <w:pPr>
        <w:jc w:val="left"/>
      </w:pPr>
      <w:r>
        <w:t>Köln, den 30.04.2026</w:t>
      </w:r>
    </w:p>
    <w:p>
      <w:pPr>
        <w:jc w:val="left"/>
      </w:pPr>
      <w:r>
        <w:t>Betreff: Ihr Antrag auf Zugang zu Umweltinformationen vom 03.04.2026 — Anlage Werk Nord der Rheinland Spezialchemie GmbH, Wesseling</w:t>
      </w:r>
    </w:p>
    <w:p>
      <w:pPr>
        <w:jc w:val="left"/>
      </w:pPr>
      <w:r>
        <w:t>Sehr geehrte Damen und Herren,</w:t>
      </w:r>
    </w:p>
    <w:p>
      <w:pPr>
        <w:jc w:val="left"/>
      </w:pPr>
      <w:r>
        <w:t>Ihr Antrag vom 03.04.2026 ist hier am selben Tag eingegangen. Wir bestätigen den Eingang und teilen zum Verfahrensstand Folgendes mit.</w:t>
      </w:r>
    </w:p>
    <w:p>
      <w:pPr>
        <w:jc w:val="left"/>
      </w:pPr>
      <w:r>
        <w:t>Die von Ihnen bezeichneten Unterlagen betreffen mehrere Vorgänge unseres Hauses, darunter die Genehmigungsakten zu den Aktenzeichen BR-K/6-52.4/2007-044 und BR-K/6-52.4/2019-014, den laufenden Vorgang zur Änderungsanzeige vom 14.03.2026 (BR-K/6-52.4/2026-031) sowie Emissions- und Störungsberichte mehrerer Jahre. Ein Teil der angeforderten Kommunikation enthält nach unserer Durchsicht Angaben, die die Betreiberin als Betriebs- und Geschäftsgeheimnisse gekennzeichnet hat, insbesondere Rezeptur- und Preisangaben in E-Mail-Anlagen.</w:t>
      </w:r>
    </w:p>
    <w:p>
      <w:pPr>
        <w:jc w:val="left"/>
      </w:pPr>
      <w:r>
        <w:t>Wir haben die Rheinland Spezialchemie GmbH als betroffene Dritte mit Schreiben vom heutigen Tag angehört und ihr Gelegenheit gegeben, bis zum 22.05.2026 darzulegen, welche Teile der Unterlagen aus ihrer Sicht vom Informationszugang auszunehmen sind und aus welchen Gründen.</w:t>
      </w:r>
    </w:p>
    <w:p>
      <w:pPr>
        <w:jc w:val="left"/>
      </w:pPr>
      <w:r>
        <w:t>Wegen des Umfangs der Unterlagen und der erforderlichen Drittbeteiligung verlängert sich die Frist zur Bescheidung Ihres Antrags auf zwei Monate ab Antragseingang, also bis zum 03.06.2026. Die Akten zum Bußgeldvorgang BR-K/6-OWi-2026-0087 werden gesondert geprüft; hierzu ergeht eine eigene Mitteilung.</w:t>
      </w:r>
    </w:p>
    <w:p>
      <w:pPr>
        <w:jc w:val="left"/>
      </w:pPr>
      <w:r>
        <w:t>Für Rückfragen steht Ihnen das Dezernat 52 unter Angabe des obigen Aktenzeichens zur Verfügung.</w:t>
      </w:r>
    </w:p>
    <w:p>
      <w:pPr>
        <w:jc w:val="left"/>
      </w:pPr>
      <w:r>
        <w:t>Im Auftrag</w:t>
      </w:r>
    </w:p>
    <w:p>
      <w:pPr>
        <w:jc w:val="left"/>
      </w:pPr>
      <w:r>
        <w:t>Kellermann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Rheinland Spezialchemie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Rheinland Spezialchemie GmbH</w:t>
    </w:r>
  </w:p>
  <w:p>
    <w:pPr>
      <w:jc w:val="left"/>
      <w:pBdr>
        <w:bottom w:val="single" w:sz="6" w:space="2" w:color="2C5230"/>
      </w:pBdr>
    </w:pPr>
    <w:r>
      <w:rPr>
        <w:rFonts w:ascii="Times New Roman" w:hAnsi="Times New Roman"/>
        <w:color w:val="6B6B66"/>
        <w:sz w:val="16"/>
      </w:rPr>
      <w:t>Wesseling · Aktenzeichen: BR-K/6-UIG-2026-011 — Ihr Zeichen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