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SI-2026-002</w:t>
      </w:r>
    </w:p>
    <w:p>
      <w:r>
        <w:t>7. Oktober 2026</w:t>
      </w:r>
    </w:p>
    <w:p>
      <w:pPr>
        <w:pStyle w:val="Title"/>
      </w:pPr>
      <w:r>
        <w:t>Kündigungsschutzklage Entwurf</w:t>
      </w:r>
    </w:p>
    <w:p>
      <w:pPr>
        <w:widowControl/>
      </w:pPr>
      <w:r>
        <w:t>An das Arbeitsgericht Leipzig</w:t>
        <w:br/>
        <w:t>[Gerichtsanschrift]</w:t>
      </w:r>
    </w:p>
    <w:p>
      <w:pPr>
        <w:pStyle w:val="Heading1"/>
        <w:widowControl/>
        <w:spacing w:before="140"/>
      </w:pPr>
      <w:r>
        <w:t>1 Parteien und Antrag</w:t>
      </w:r>
    </w:p>
    <w:p>
      <w:pPr>
        <w:widowControl/>
      </w:pPr>
      <w:r>
        <w:t>Mina Özdemir, [Anschrift], erhebt gegen die Speichenstolz GmbH, vertreten durch die Geschäftsführerin Berta Kern, Werkstatthof 8, 04177 Leipzig, Kündigungsschutzklage. Es wird beantragt festzustellen, dass das Arbeitsverhältnis der Parteien durch die Kündigung der Beklagten vom 28. September 2026 nicht aufgelöst worden ist.</w:t>
      </w:r>
    </w:p>
    <w:p>
      <w:pPr>
        <w:pStyle w:val="Heading1"/>
        <w:widowControl/>
        <w:spacing w:before="140"/>
      </w:pPr>
      <w:r>
        <w:t>2 Arbeitsverhältnis und Kündigung</w:t>
      </w:r>
    </w:p>
    <w:p>
      <w:pPr>
        <w:widowControl/>
      </w:pPr>
      <w:r>
        <w:t>Die Klägerin ist seit dem 2. Mai 2022 als Fahrradmechanikerin beschäftigt. Ihr monatliches Bruttoentgelt beträgt 3.100 EUR. Der Arbeitsvertrag wird als Anlage K1, die Kündigung als Anlage K2 vorgelegt. Die Klägerin fand das Schreiben am 30. September 2026 im Briefkasten. Den von der Beklagten behaupteten früheren Einwurf bestreitet sie mit Nichtwissen, soweit er außerhalb ihrer Wahrnehmung liegt.</w:t>
      </w:r>
    </w:p>
    <w:p>
      <w:pPr>
        <w:pStyle w:val="Heading1"/>
        <w:widowControl/>
        <w:spacing w:before="140"/>
      </w:pPr>
      <w:r>
        <w:t>3 Begründung</w:t>
      </w:r>
    </w:p>
    <w:p>
      <w:pPr>
        <w:widowControl/>
      </w:pPr>
      <w:r>
        <w:t>Die Klage wird innerhalb der nach Paragraf 4 KSchG zu prüfenden Dreiwochenfrist erhoben. Die Anwendbarkeit des allgemeinen Kündigungsschutzes ist noch nicht belegt. Die bisher bekannten Stunden ergeben selbst mit der behaupteten Aufstockung nur 9,25 gewichtete Arbeitnehmer. Zur Betriebsgröße werden [weitere Beschäftigte und betriebliche Zuordnung anderer Filialen] aufgeklärt. Weitere Unwirksamkeitsgründe werden nach ergänzender Prüfung konkret vorgetragen; sie werden nicht aus der bloßen Kopfzahl abgeleitet. Ein gesonderter Streit über die zutreffende Kündigungsfrist bleibt zu prüfen.</w:t>
      </w:r>
    </w:p>
    <w:p>
      <w:pPr>
        <w:widowControl/>
      </w:pPr>
      <w:r>
        <w:t>[Datum und anwaltliche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Kündigungsschutzklage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