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SI-2026-005</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Lotte Eberlein. Gegenüber steht Nepomuk Eberlein. Gegenstand ist: Auskunft zum Nachlass des Vaters in Bamberg und fehlende Angaben zu einer verschenkten Uhr. Der erste Arbeitsschritt ist die Vorbereitung des folgenden Dokuments: Auskunftsverlangen zum Pflichtteil. Gerichtliche Erweiterungen, Anerkenntnisse, Vergleiche und externer Versand sind daraus nicht automatisch freigegeben.</w:t>
      </w:r>
    </w:p>
    <w:p>
      <w:pPr>
        <w:pStyle w:val="Heading1"/>
        <w:widowControl/>
        <w:spacing w:before="140"/>
      </w:pPr>
      <w:r>
        <w:t>2 Honorarstand</w:t>
      </w:r>
    </w:p>
    <w:p>
      <w:pPr>
        <w:widowControl/>
      </w:pPr>
      <w:r>
        <w:t>Für den abgegrenzten Auftrag ist ein Festhonorar von 750,00 EUR netto vorgesehen. Zeiten werden zur internen Steuerung erfasst und nicht zusätzlich als Stundenhonorar berechnet.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