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SI-2026-006</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Samira Winter. Gegenüber steht Konrad Winter. Gegenstand ist: Abweichende Ferienplanung für ein neunjähriges Kind in Potsdam und Entwurf einer Umgangsvereinbarung. Der erste Arbeitsschritt ist die Vorbereitung des folgenden Dokuments: Umgangsvereinbarung. Gerichtliche Erweiterungen, Anerkenntnisse, Vergleiche und externer Versand sind daraus nicht automatisch freigegeben.</w:t>
      </w:r>
    </w:p>
    <w:p>
      <w:pPr>
        <w:pStyle w:val="Heading1"/>
        <w:widowControl/>
        <w:spacing w:before="140"/>
      </w:pPr>
      <w:r>
        <w:t>2 Honorarstand</w:t>
      </w:r>
    </w:p>
    <w:p>
      <w:pPr>
        <w:widowControl/>
      </w:pPr>
      <w:r>
        <w:t>Vorgesehen sind 230,00 EUR netto je Stunde mit einem verbindlichen Honorarhöchstbetrag von 1.100,00 EUR netto für den abgegrenzten Auftrag. Der Deckel wird durch weitere Zeiteinträge nicht automatisch erhöht. Diese Honorargrundlage ist bislang nur vorgeschlagen und von der Mandantschaft nicht bestätigt. Die Bearbeitung erfolgt vorläufig zur Sachverhalts und Fristklärung; eine Rechnung aus dem vorgeschlagenen Modell ist nicht freigegeben.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