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Kanzlei Blum und Rapp | SI-2026-008</w:t>
      </w:r>
    </w:p>
    <w:p>
      <w:r>
        <w:t>7. Oktober 2026</w:t>
      </w:r>
    </w:p>
    <w:p>
      <w:pPr>
        <w:pStyle w:val="Title"/>
      </w:pPr>
      <w:r>
        <w:t>Gesellschafterbeschluss zur Kapitalerhöhung Entwurf</w:t>
      </w:r>
    </w:p>
    <w:p>
      <w:pPr>
        <w:widowControl/>
      </w:pPr>
      <w:r>
        <w:t>Entwurf eines Gesellschafterbeschlusses zur Kapitalerhöhung</w:t>
      </w:r>
    </w:p>
    <w:p>
      <w:pPr>
        <w:pStyle w:val="Heading1"/>
        <w:widowControl/>
        <w:spacing w:before="140"/>
      </w:pPr>
      <w:r>
        <w:t>1 Kapital und Satzung</w:t>
      </w:r>
    </w:p>
    <w:p>
      <w:pPr>
        <w:widowControl/>
      </w:pPr>
      <w:r>
        <w:t>Das Stammkapital der Schraubenglück GmbH wird von 25.000 EUR um 20.000 EUR auf 45.000 EUR erhöht. Die Satzungsbestimmung über das Stammkapital erhält den entsprechend geänderten Betrag. Dieser Entwurf wird erst nach ordnungsgemäßer Beschlussfassung und erforderlicher notarieller Beurkundung als Beschluss behandelt.</w:t>
      </w:r>
    </w:p>
    <w:p>
      <w:pPr>
        <w:pStyle w:val="Heading1"/>
        <w:widowControl/>
        <w:spacing w:before="140"/>
      </w:pPr>
      <w:r>
        <w:t>2 Übernahme der neuen Anteile</w:t>
      </w:r>
    </w:p>
    <w:p>
      <w:pPr>
        <w:widowControl/>
      </w:pPr>
      <w:r>
        <w:t>Den bisherigen Gesellschaftern wird zunächst eine Übernahme im Verhältnis ihrer bisherigen Beteiligung ermöglicht. Alva Schulz kann 8.000 EUR, Bastian Fink und Erwin Bock können jeweils 6.000 EUR übernehmen. Die Übernahmeerklärungen müssen bis zum [Datum] in der erforderlichen Form vorliegen. Die Zuordnung nicht übernommener Beträge wird durch [konkret abgestimmte Regelung] festgelegt. Ein pauschaler Bezugsrechtsausschluss ist damit nicht beschlossen.</w:t>
      </w:r>
    </w:p>
    <w:p>
      <w:pPr>
        <w:pStyle w:val="Heading1"/>
        <w:widowControl/>
        <w:spacing w:before="140"/>
      </w:pPr>
      <w:r>
        <w:t>3 Einlagen und Durchführung</w:t>
      </w:r>
    </w:p>
    <w:p>
      <w:pPr>
        <w:widowControl/>
      </w:pPr>
      <w:r>
        <w:t>Die neuen Einlagen sind in Geld zum Nennbetrag bis zum [Datum] zu leisten. Die Geschäftsführung wird mit der Vorbereitung der Anmeldung nach Erfüllung der gesetzlichen Voraussetzungen beauftragt. Paragrafen 53 und 55 GmbHG sind bei Mehrheit, Beurkundung und Übernahmeerklärungen zu beachten.</w:t>
      </w:r>
    </w:p>
    <w:p>
      <w:pPr>
        <w:pStyle w:val="Heading1"/>
        <w:widowControl/>
        <w:spacing w:before="140"/>
      </w:pPr>
      <w:r>
        <w:t>4 Abstimmungsergebnis</w:t>
      </w:r>
    </w:p>
    <w:p>
      <w:pPr>
        <w:widowControl/>
      </w:pPr>
      <w:r>
        <w:t>Für den Beschluss wurden [Ja Stimmen], dagegen [Nein Stimmen] und als Enthaltungen [Anzahl] abgegeben. Das Stimmrecht Erwins wird nicht allein wegen fehlender Finanzierungsbereitschaft ausgeschlossen. Die erforderliche Mehrheit und weitere Satzungsvoraussetzungen sind vor Feststellung des Ergebnisses zu prüfen.</w:t>
      </w:r>
    </w:p>
    <w:p>
      <w:pPr>
        <w:widowControl/>
      </w:pPr>
      <w:r>
        <w:t>[Notarielle Ausgestaltung und Unterzeichnungen]</w:t>
      </w:r>
    </w:p>
    <w:sectPr w:rsidR="00FC693F" w:rsidRPr="0006063C" w:rsidSect="00034616">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7"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47"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7" w:lineRule="auto"/>
      <w:contextualSpacing/>
    </w:pPr>
    <w:rPr>
      <w:rFonts w:cstheme="majorBidi"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Gesellschafterbeschluss zur Kapitalerhöhung Entwurf</dc:title>
  <dc:subject/>
  <dc:creator>Klotzkette</dc:creator>
  <cp:keywords/>
  <dc:description>generated by python-docx</dc:description>
  <cp:lastModifiedBy>Klotzkette</cp:lastModifiedBy>
  <cp:revision>1</cp:revision>
  <dcterms:created xsi:type="dcterms:W3CDTF">2026-10-07T10:00:00Z</dcterms:created>
  <dcterms:modified xsi:type="dcterms:W3CDTF">2026-10-07T10:00:00Z</dcterms:modified>
  <cp:category/>
  <dc:language>de-DE</dc:language>
</cp:coreProperties>
</file>