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SI-2026-009</w:t>
      </w:r>
    </w:p>
    <w:p>
      <w:r>
        <w:t>7. Oktober 2026</w:t>
      </w:r>
    </w:p>
    <w:p>
      <w:pPr>
        <w:pStyle w:val="Title"/>
      </w:pPr>
      <w:r>
        <w:t>Stundungsvereinbarung Entwurf</w:t>
      </w:r>
    </w:p>
    <w:p>
      <w:pPr>
        <w:widowControl/>
      </w:pPr>
      <w:r>
        <w:t>Entwurf einer Stundungsvereinbarung</w:t>
      </w:r>
    </w:p>
    <w:p>
      <w:pPr>
        <w:pStyle w:val="Heading1"/>
        <w:widowControl/>
        <w:spacing w:before="140"/>
      </w:pPr>
      <w:r>
        <w:t>1 Forderung und Parteien</w:t>
      </w:r>
    </w:p>
    <w:p>
      <w:pPr>
        <w:widowControl/>
      </w:pPr>
      <w:r>
        <w:t>Die Faser &amp; Faden GmbH als Gläubigerin und die Papiermond GmbH als Schuldnerin vereinbaren für die Rechnung FF 260918 über 9.000 EUR die nachfolgende Stundung. Die Wirksamkeit setzt die Unterzeichnung durch die jeweils vertretungsberechtigten Personen voraus. Das bisherige Vertriebsgespräch ersetzt diese Vereinbarung nicht.</w:t>
      </w:r>
    </w:p>
    <w:p>
      <w:pPr>
        <w:pStyle w:val="Heading1"/>
        <w:widowControl/>
        <w:spacing w:before="140"/>
      </w:pPr>
      <w:r>
        <w:t>2 Neue Fälligkeiten</w:t>
      </w:r>
    </w:p>
    <w:p>
      <w:pPr>
        <w:widowControl/>
      </w:pPr>
      <w:r>
        <w:t>Von der Forderung werden 3.000 EUR am 15. Oktober 2026 und 6.000 EUR am 15. November 2026 fällig. Bis zu diesen Zeitpunkten wird die Durchsetzung des jeweils gestundeten Teilbetrags ausgesetzt. Die Parteien regeln den Umgang mit bis dahin entstandenen Zinsen und Kosten wie folgt: [ausverhandelte Regelung].</w:t>
      </w:r>
    </w:p>
    <w:p>
      <w:pPr>
        <w:pStyle w:val="Heading1"/>
        <w:widowControl/>
        <w:spacing w:before="140"/>
      </w:pPr>
      <w:r>
        <w:t>3 Weitere Geschäftsbeziehung</w:t>
      </w:r>
    </w:p>
    <w:p>
      <w:pPr>
        <w:widowControl/>
      </w:pPr>
      <w:r>
        <w:t>Neue Lieferungen erfolgen nur aufgrund gesonderter Aufträge und der dafür vereinbarten Zahlungsbedingungen. Diese Vereinbarung enthält weder eine Kreditzusage noch einen Erlass der Restforderung. Eine automatische Fälligstellung sämtlicher Raten bei geringfügiger Verspätung ist in diesem Entwurf nicht vorgesehen; eine gewünschte Abweichung muss ausdrücklich ausgehandelt werden.</w:t>
      </w:r>
    </w:p>
    <w:p>
      <w:pPr>
        <w:pStyle w:val="Heading1"/>
        <w:widowControl/>
        <w:spacing w:before="140"/>
      </w:pPr>
      <w:r>
        <w:t>4 Unterzeichnung</w:t>
      </w:r>
    </w:p>
    <w:p>
      <w:pPr>
        <w:widowControl/>
      </w:pPr>
      <w:r>
        <w:t>Die Parteien bestätigen ihre Vertretungsbefugnis durch [Nachweis]. Die gesetzlichen Pflichten der Geschäftsführung, insbesondere nach Paragraf 15a InsO, bleiben unberührt. Die Stundung ersetzt keine Prüfung der aktuellen wirtschaftlichen Lage.</w:t>
      </w:r>
    </w:p>
    <w:p>
      <w:pPr>
        <w:widowControl/>
      </w:pPr>
      <w:r>
        <w:t>[Ort, Datum und Unterschriften]</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Stundungsvereinbarung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