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Kanzlei Blum und Rapp | SI-2026-010</w:t>
      </w:r>
    </w:p>
    <w:p>
      <w:r>
        <w:t>7. Oktober 2026</w:t>
      </w:r>
    </w:p>
    <w:p>
      <w:pPr>
        <w:pStyle w:val="Title"/>
      </w:pPr>
      <w:r>
        <w:t>Nachtrag zum Liefervertrag Entwurf</w:t>
      </w:r>
    </w:p>
    <w:p>
      <w:pPr>
        <w:widowControl/>
      </w:pPr>
      <w:r>
        <w:t>Nachtrag zum Liefervertrag über die Röstmaschine RC 30</w:t>
      </w:r>
    </w:p>
    <w:p>
      <w:pPr>
        <w:pStyle w:val="Heading1"/>
        <w:widowControl/>
        <w:spacing w:before="140"/>
      </w:pPr>
      <w:r>
        <w:t>1 Geltung des Nachtrags</w:t>
      </w:r>
    </w:p>
    <w:p>
      <w:pPr>
        <w:widowControl/>
      </w:pPr>
      <w:r>
        <w:t>Die Röstkompass GmbH und die Caffè Rovere Srl ergänzen den Auftrag vom 14. Juli 2026. Dieser Nachtrag geht widersprechenden Angaben in Bestellung und Auftragsbestätigung vor. Im Übrigen bleibt die vereinbarte technische Spezifikation bestehen.</w:t>
      </w:r>
    </w:p>
    <w:p>
      <w:pPr>
        <w:pStyle w:val="Heading1"/>
        <w:widowControl/>
        <w:spacing w:before="140"/>
      </w:pPr>
      <w:r>
        <w:t>2 Lieferung und Kosten</w:t>
      </w:r>
    </w:p>
    <w:p>
      <w:pPr>
        <w:widowControl/>
      </w:pPr>
      <w:r>
        <w:t>Die Verkäuferin organisiert die Anlieferung an [vollständiger Lieferort in Freiburg] bis zum [verbindliches Datum]. Die Parteien vereinbaren für Transportkosten und Transportversicherung [konkrete Kostenzuordnung]. Der Zeitpunkt des Gefahrübergangs wird wie folgt festgelegt: [ausgehandelte Regelung]. Die bisherige Formulierung Abholung ab Werk wird für diesen Auftrag ersetzt.</w:t>
      </w:r>
    </w:p>
    <w:p>
      <w:pPr>
        <w:pStyle w:val="Heading1"/>
        <w:widowControl/>
        <w:spacing w:before="140"/>
      </w:pPr>
      <w:r>
        <w:t>3 Inbetriebnahme und Zahlung</w:t>
      </w:r>
    </w:p>
    <w:p>
      <w:pPr>
        <w:widowControl/>
      </w:pPr>
      <w:r>
        <w:t>Nach Aufbau werden zwei Testchargen nach dem technischen Anhang durchgeführt. Abweichungen werden gemeinsam protokolliert. Die letzte Rate von 16.000 EUR wird [Frist] nach erfolgreicher Inbetriebnahme und Zugang der Rechnung fällig. Für die zweite Rate vereinbaren die Parteien [eindeutiger Fälligkeitstatbestand].</w:t>
      </w:r>
    </w:p>
    <w:p>
      <w:pPr>
        <w:pStyle w:val="Heading1"/>
        <w:widowControl/>
        <w:spacing w:before="140"/>
      </w:pPr>
      <w:r>
        <w:t>4 Recht und Streitbeilegung</w:t>
      </w:r>
    </w:p>
    <w:p>
      <w:pPr>
        <w:widowControl/>
      </w:pPr>
      <w:r>
        <w:t>Die Parteien wählen [Rechtsordnung]. Zur Anwendung des UN Kaufrechts vereinbaren sie ausdrücklich [Einbeziehung oder Ausschluss nach bewusster Entscheidung]. Eine Gerichtsstandsregelung wird nur nach Prüfung der grenzüberschreitenden Wirksamkeit ergänzt. Die bloße Wahl deutschen Rechts wird nicht als bereits erklärter Ausschluss des UN Kaufrechts behandelt.</w:t>
      </w:r>
    </w:p>
    <w:p>
      <w:pPr>
        <w:widowControl/>
      </w:pPr>
      <w:r>
        <w:t>[Datum und Unterschriften]</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7"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47"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Nachtrag zum Liefervertrag Entwurf</dc:title>
  <dc:subject/>
  <dc:creator>Klotzkette</dc:creator>
  <cp:keywords/>
  <dc:description>generated by python-docx</dc:description>
  <cp:lastModifiedBy>Klotzkette</cp:lastModifiedBy>
  <cp:revision>1</cp:revision>
  <dcterms:created xsi:type="dcterms:W3CDTF">2026-10-07T10:00:00Z</dcterms:created>
  <dcterms:modified xsi:type="dcterms:W3CDTF">2026-10-07T10:00:00Z</dcterms:modified>
  <cp:category/>
  <dc:language>de-DE</dc:language>
</cp:coreProperties>
</file>