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SI-2026-010</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Röstkompass GmbH, vertreten durch Rosa Bühler. Gegenüber steht Caffè Rovere Srl. Gegenstand ist: Lieferung einer Röstmaschine von Bologna nach Freiburg mit abweichenden Einkaufs und Verkaufsbedingungen. Der erste Arbeitsschritt ist die Vorbereitung des folgenden Dokuments: Nachtrag zum Liefervertrag. Gerichtliche Erweiterungen, Anerkenntnisse, Vergleiche und externer Versand sind daraus nicht automatisch freigegeben.</w:t>
      </w:r>
    </w:p>
    <w:p>
      <w:pPr>
        <w:pStyle w:val="Heading1"/>
        <w:widowControl/>
        <w:spacing w:before="140"/>
      </w:pPr>
      <w:r>
        <w:t>2 Honorarstand</w:t>
      </w:r>
    </w:p>
    <w:p>
      <w:pPr>
        <w:widowControl/>
      </w:pPr>
      <w:r>
        <w:t>Vorgesehen sind 270,00 EUR netto je Stunde. Die bisherige Kostenschätzung beträgt 1.600,00 EUR netto und ist kein verbindlicher Deckel. Bei absehbarer Überschreitung wird vor weiterem Aufwand eine Abstimmung vorbereitet. Diese Honorargrundlage ist bislang nur vorgeschlagen und von der Mandantschaft nicht bestätigt. Die Bearbeitung erfolgt vorläufig zur Sachverhalts und Fristklärung; eine Rechnung aus dem vorgeschlagenen Modell ist nicht freigegeben.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