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SI-2026-011</w:t>
      </w:r>
    </w:p>
    <w:p>
      <w:r>
        <w:t>7. Oktober 2026</w:t>
      </w:r>
    </w:p>
    <w:p>
      <w:pPr>
        <w:pStyle w:val="Title"/>
      </w:pPr>
      <w:r>
        <w:t>Nachtrag zur Auftragsverarbeitung Entwurf</w:t>
      </w:r>
    </w:p>
    <w:p>
      <w:pPr>
        <w:widowControl/>
      </w:pPr>
      <w:r>
        <w:t>Nachtrag zur Vereinbarung über Auftragsverarbeitung</w:t>
      </w:r>
    </w:p>
    <w:p>
      <w:pPr>
        <w:pStyle w:val="Heading1"/>
        <w:widowControl/>
        <w:spacing w:before="140"/>
      </w:pPr>
      <w:r>
        <w:t>1 Zweck und Weisungen</w:t>
      </w:r>
    </w:p>
    <w:p>
      <w:pPr>
        <w:widowControl/>
      </w:pPr>
      <w:r>
        <w:t>Die Nimbus Werk GmbH verarbeitet personenbezogene Daten der Terminotter GmbH ausschließlich zur Bereitstellung des vereinbarten Kalenders und auf dokumentierte Weisung. Eine eigene Verwendung von Kundeninhalten zum Modelltraining oder zur Produktverbesserung wird mit diesem Nachtrag nicht gestattet. Abweichende Zwecke bedürfen einer gesonderten rechtlichen und vertraglichen Klärung.</w:t>
      </w:r>
    </w:p>
    <w:p>
      <w:pPr>
        <w:pStyle w:val="Heading1"/>
        <w:widowControl/>
        <w:spacing w:before="140"/>
      </w:pPr>
      <w:r>
        <w:t>2 Löschung</w:t>
      </w:r>
    </w:p>
    <w:p>
      <w:pPr>
        <w:widowControl/>
      </w:pPr>
      <w:r>
        <w:t>Aktive Kundendaten werden nach Vertragsende innerhalb von 30 Tagen gelöscht, soweit keine rechtmäßige abweichende Weisung vorliegt. Sicherungskopien werden nach [konkreter Zyklus] gelöscht und bis dahin nicht für andere Zwecke verwendet. Bei Wiederherstellung sind bereits erteilte Löschweisungen erneut umzusetzen. Der Auftragnehmer weist die Durchführung auf Anfrage nach.</w:t>
      </w:r>
    </w:p>
    <w:p>
      <w:pPr>
        <w:pStyle w:val="Heading1"/>
        <w:widowControl/>
        <w:spacing w:before="140"/>
      </w:pPr>
      <w:r>
        <w:t>3 Dienstleister und Support</w:t>
      </w:r>
    </w:p>
    <w:p>
      <w:pPr>
        <w:widowControl/>
      </w:pPr>
      <w:r>
        <w:t>Vor weiteren Unterauftragsverarbeitern gelten das vereinbarte Informations und Genehmigungsverfahren sowie Artikel 28 DSGVO. Ein Supportzugriff aus Kanada erfolgt erst nach Benennung des Empfängers, Festlegung der notwendigen Daten und Prüfung der Übermittlungsvoraussetzungen. Die Unterzeichnung dieses Nachtrags ist keine pauschale Transferfreigabe.</w:t>
      </w:r>
    </w:p>
    <w:p>
      <w:pPr>
        <w:pStyle w:val="Heading1"/>
        <w:widowControl/>
        <w:spacing w:before="140"/>
      </w:pPr>
      <w:r>
        <w:t>4 Technische Konkretisierung</w:t>
      </w:r>
    </w:p>
    <w:p>
      <w:pPr>
        <w:widowControl/>
      </w:pPr>
      <w:r>
        <w:t>Die Parteien ergänzen bis zum [Datum] die Anlage um Supportprotokollierung, Rollen und Löschzyklen. Freitextfelder bleiben bis zur dokumentierten Freigabe deaktiviert. Alle anderen Bestimmungen gelten fort, soweit sie diesem Nachtrag nicht widersprechen.</w:t>
      </w:r>
    </w:p>
    <w:p>
      <w:pPr>
        <w:widowControl/>
      </w:pPr>
      <w:r>
        <w:t>[Unterschriften]</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zur Auftragsverarbeitung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