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SI-2026-012</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Agnes Aydin. Gegenüber steht MVZ Stadtpark GmbH. Gegenstand ist: Verspätet übermittelter radiologischer Befund in Erfurt mit zunächst ungeklärtem Gesundheitsschaden. Der erste Arbeitsschritt ist die Vorbereitung des folgenden Dokuments: Anforderung der Behandlungsunterlagen. Gerichtliche Erweiterungen, Anerkenntnisse, Vergleiche und externer Versand sind daraus nicht automatisch freigegeben.</w:t>
      </w:r>
    </w:p>
    <w:p>
      <w:pPr>
        <w:pStyle w:val="Heading1"/>
        <w:widowControl/>
        <w:spacing w:before="140"/>
      </w:pPr>
      <w:r>
        <w:t>2 Honorarstand</w:t>
      </w:r>
    </w:p>
    <w:p>
      <w:pPr>
        <w:widowControl/>
      </w:pPr>
      <w:r>
        <w:t>Die Vergütung richtet sich nach dem RVG. Gebührengegenstand, Angelegenheit, Verfahrensstand und etwaige Anrechnung müssen vor der Abrechnung geklärt werden. Erfasste Minuten sind kein zusätzliches Stundenhonorar.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