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SI-2026-013</w:t>
      </w:r>
    </w:p>
    <w:p>
      <w:r>
        <w:t>7. Oktober 2026</w:t>
      </w:r>
    </w:p>
    <w:p>
      <w:pPr>
        <w:pStyle w:val="Title"/>
      </w:pPr>
      <w:r>
        <w:t>Einwendungen gegen die Betriebskostenabrechnung Entwurf</w:t>
      </w:r>
    </w:p>
    <w:p>
      <w:pPr>
        <w:widowControl/>
      </w:pPr>
      <w:r>
        <w:t>An die Lindenwinkel Wohnen GmbH</w:t>
        <w:br/>
        <w:t>vertreten durch die Lindenwinkel Verwaltung GmbH</w:t>
      </w:r>
    </w:p>
    <w:p>
      <w:pPr>
        <w:pStyle w:val="Heading1"/>
        <w:widowControl/>
        <w:spacing w:before="140"/>
      </w:pPr>
      <w:r>
        <w:t>1 Einwendung gegen die Abrechnung 2025</w:t>
      </w:r>
    </w:p>
    <w:p>
      <w:pPr>
        <w:widowControl/>
      </w:pPr>
      <w:r>
        <w:t>Wir vertreten Elsbeth Nguyen. Gegen die am 23. September 2026 zugegangene Betriebskostenabrechnung erheben wir Einwendungen zur Position Treppenhausreinigung. Die Rechnungen SF 250630 und TS 250601 betreffen jeweils Juni 2025 und jeweils 360 EUR für dasselbe Gebäude. Eine abweichende Leistung ist bisher nicht belegt.</w:t>
      </w:r>
    </w:p>
    <w:p>
      <w:pPr>
        <w:pStyle w:val="Heading1"/>
        <w:widowControl/>
        <w:spacing w:before="140"/>
      </w:pPr>
      <w:r>
        <w:t>2 Belege und Korrektur</w:t>
      </w:r>
    </w:p>
    <w:p>
      <w:pPr>
        <w:widowControl/>
      </w:pPr>
      <w:r>
        <w:t>Bitte erläutern Sie, ob beide Rechnungen bezahlt und in die Abrechnung eingestellt wurden. Wir verlangen Einsicht in die zugrunde liegenden Belege nach Paragraf 556 Absatz 4 BGB; eine elektronische Bereitstellung ist möglich. Benötigt werden auch der Auftrag einer etwaigen Sonderreinigung und eine vorhandene Stornierung. Die Abrechnung und die beiden Rechnungsseiten werden als Anlagen K1 und K2 vorgelegt.</w:t>
      </w:r>
    </w:p>
    <w:p>
      <w:pPr>
        <w:pStyle w:val="Heading1"/>
        <w:widowControl/>
        <w:spacing w:before="140"/>
      </w:pPr>
      <w:r>
        <w:t>3 Betrag und weiteres Vorgehen</w:t>
      </w:r>
    </w:p>
    <w:p>
      <w:pPr>
        <w:widowControl/>
      </w:pPr>
      <w:r>
        <w:t>Bei einer Doppelberücksichtigung vermindert sich der Anteil unserer Mandantin rechnerisch um 36 EUR. Eine endgültige Kürzung wird erst nach Aufklärung der Leistung vorgenommen. Bitte antworten Sie bis zum [Datum] und übersenden Sie gegebenenfalls eine korrigierte Abrechnung. Weitere noch zu prüfende Positionen bleiben unberührt. Eine Änderung laufender Mietzahlungen ist mit diesem Schreiben nicht erklärt.</w:t>
      </w:r>
    </w:p>
    <w:p>
      <w:pPr>
        <w:widowControl/>
      </w:pPr>
      <w:r>
        <w:t>[Name und Signatur]</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Einwendungen gegen die Betriebskostenabrechnung Entwurf</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