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SI-2026-014</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Leila Farah. Gegenüber steht Ausländerbehörde Hannover. Gegenstand ist: Geplanter Arbeitgeberwechsel einer Fachkraft mit beschäftigungsbezogenem Zusatzblatt und laufender Anfrage. Der erste Arbeitsschritt ist die Vorbereitung des folgenden Dokuments: Antrag zum Arbeitgeberwechsel.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