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SI-2026-015</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Tamila Vogt. Gegenüber steht Deutsche Rentenversicherung Bund. Gegenstand ist: Musiklehrerin in Halle mit Honorarvertrag aber festgelegten Räumen und Ersatzvertretungsvorbehalt. Der erste Arbeitsschritt ist die Vorbereitung des folgenden Dokuments: Stellungnahme im Statusfeststellungsverfahren. Gerichtliche Erweiterungen, Anerkenntnisse, Vergleiche und externer Versand sind daraus nicht automatisch freigegeben.</w:t>
      </w:r>
    </w:p>
    <w:p>
      <w:pPr>
        <w:pStyle w:val="Heading1"/>
        <w:widowControl/>
        <w:spacing w:before="140"/>
      </w:pPr>
      <w:r>
        <w:t>2 Honorarstand</w:t>
      </w:r>
    </w:p>
    <w:p>
      <w:pPr>
        <w:widowControl/>
      </w:pPr>
      <w:r>
        <w:t>Vorgesehen sind 220,00 EUR netto je Stunde mit einem verbindlichen Honorarhöchstbetrag von 990,00 EUR netto für den abgegrenzten Auftrag. Der Deckel wird durch weitere Zeiteinträge nicht automatisch erhöht.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