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SI-2026-016</w:t>
      </w:r>
    </w:p>
    <w:p>
      <w:r>
        <w:t>7. Oktober 2026</w:t>
      </w:r>
    </w:p>
    <w:p>
      <w:pPr>
        <w:pStyle w:val="Title"/>
      </w:pPr>
      <w:r>
        <w:t>Verbandsinterner Einspruch Entwurf</w:t>
      </w:r>
    </w:p>
    <w:p>
      <w:pPr>
        <w:widowControl/>
      </w:pPr>
      <w:r>
        <w:t>An den Sportausschuss des Nordstadt Fußballverbands eV</w:t>
        <w:br/>
        <w:t>über das Verbandsportal</w:t>
      </w:r>
    </w:p>
    <w:p>
      <w:pPr>
        <w:pStyle w:val="Heading1"/>
        <w:widowControl/>
        <w:spacing w:before="140"/>
      </w:pPr>
      <w:r>
        <w:t>1 Einspruch und Antrag</w:t>
      </w:r>
    </w:p>
    <w:p>
      <w:pPr>
        <w:widowControl/>
      </w:pPr>
      <w:r>
        <w:t>Ferdinand Klee legt gegen die am 2. Oktober 2026 bekannt gegebene Entscheidung vom 1. Oktober Einspruch ein. Er beantragt, die Entscheidung aufzuheben und nach Gewährung einer Anhörung erneut zu entscheiden. Hilfsweise wird die Herabsetzung der Sanktion beantragt. Ein Antrag auf vorläufige Aussetzung wird [nach Mandantenentscheidung konkret ergänzt].</w:t>
      </w:r>
    </w:p>
    <w:p>
      <w:pPr>
        <w:pStyle w:val="Heading1"/>
        <w:widowControl/>
        <w:spacing w:before="140"/>
      </w:pPr>
      <w:r>
        <w:t>2 Tatsächliche Einwendungen</w:t>
      </w:r>
    </w:p>
    <w:p>
      <w:pPr>
        <w:widowControl/>
      </w:pPr>
      <w:r>
        <w:t>Der im Bericht wiedergegebene Wortlaut wird bestritten. Der Spieler erklärt, tatsächlich [genauer erinnerter Wortlaut] gerufen zu haben. Emil Hartmann stand nach seiner Wahrnehmung daneben und soll als Auskunftsperson gehört werden. Seine eigenständige Erklärung wird nachgereicht. Der Spielbericht und die angefochtene Entscheidung sind als Anlagen K1 und K2 beigefügt.</w:t>
      </w:r>
    </w:p>
    <w:p>
      <w:pPr>
        <w:pStyle w:val="Heading1"/>
        <w:widowControl/>
        <w:spacing w:before="140"/>
      </w:pPr>
      <w:r>
        <w:t>3 Verfahren</w:t>
      </w:r>
    </w:p>
    <w:p>
      <w:pPr>
        <w:widowControl/>
      </w:pPr>
      <w:r>
        <w:t>Vor der Entscheidung erhielt der Spieler nach seiner Darstellung keine Gelegenheit zur Stellungnahme. Er bittet um Übermittlung der vollständigen Verfahrensunterlagen und um Berücksichtigung seiner Einwendungen nach der maßgeblichen Verbandsordnung. Der Einspruch wird nicht als automatische Spielberechtigung behandelt. Die vollständige Gebühren und Zuständigkeitsregelung bleibt anhand der Gesamtfassung zu prüfen.</w:t>
      </w:r>
    </w:p>
    <w:p>
      <w:pPr>
        <w:widowControl/>
      </w:pPr>
      <w:r>
        <w:t>[Datum und autorisierte Einreichung]</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Verbandsinterner Einspruch Entwurf</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