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SI-2026-016</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Ferdinand Klee. Gegenüber steht Nordstadt Fußballverband eV. Gegenstand ist: Verbandsrechtliche Sperre eines Amateurspielers in Bremen bei unvollständiger Anhörung. Der erste Arbeitsschritt ist die Vorbereitung des folgenden Dokuments: Verbandsinterner Einspruch. Gerichtliche Erweiterungen, Anerkenntnisse, Vergleiche und externer Versand sind daraus nicht automatisch freigegeben.</w:t>
      </w:r>
    </w:p>
    <w:p>
      <w:pPr>
        <w:pStyle w:val="Heading1"/>
        <w:widowControl/>
        <w:spacing w:before="140"/>
      </w:pPr>
      <w:r>
        <w:t>2 Honorarstand</w:t>
      </w:r>
    </w:p>
    <w:p>
      <w:pPr>
        <w:widowControl/>
      </w:pPr>
      <w:r>
        <w:t>Für den abgegrenzten Auftrag ist ein Festhonorar von 650,00 EUR netto vorgesehen. Zeiten werden zur internen Steuerung erfasst und nicht zusätzlich als Stundenhonorar berechnet. Diese Honorargrundlage ist bislang nur vorgeschlagen und von der Mandantschaft nicht bestätigt. Die Bearbeitung erfolgt vorläufig zur Sachverhalts und Fristklärung; eine Rechnung aus dem vorgeschlagenen Modell ist nicht freigegeben.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