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SI-2026-017</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Klara Hagen. Gegenüber steht Finanzamt Münster Innenstadt. Gegenstand ist: Nicht berücksichtigte Betriebsausgabe für ein betriebliches Lastenrad und abweichender Anschaffungszeitpunkt. Der erste Arbeitsschritt ist die Vorbereitung des folgenden Dokuments: Einspruch gegen den Einkommensteuerbescheid.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