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SI-2026-018</w:t>
      </w:r>
    </w:p>
    <w:p>
      <w:r>
        <w:t>7. Oktober 2026</w:t>
      </w:r>
    </w:p>
    <w:p>
      <w:pPr>
        <w:pStyle w:val="Title"/>
      </w:pPr>
      <w:r>
        <w:t>Verteidigungsanzeige und Akteneinsichtsgesuch Entwurf</w:t>
      </w:r>
    </w:p>
    <w:p>
      <w:pPr>
        <w:widowControl/>
      </w:pPr>
      <w:r>
        <w:t>An die Staatsanwaltschaft Nürnberg Fürth</w:t>
        <w:br/>
        <w:t>zum Vorgang NP 26 410</w:t>
      </w:r>
    </w:p>
    <w:p>
      <w:pPr>
        <w:pStyle w:val="Heading1"/>
        <w:widowControl/>
        <w:spacing w:before="140"/>
      </w:pPr>
      <w:r>
        <w:t>1 Verteidigungsanzeige</w:t>
      </w:r>
    </w:p>
    <w:p>
      <w:pPr>
        <w:widowControl/>
      </w:pPr>
      <w:r>
        <w:t>Wir zeigen an, dass Linus Pankratz, [Anschrift und Geburtsdatum], uns mit seiner Verteidigung beauftragt hat. Eine Vollmacht wird [beigefügt oder auf geeignete Weise nachgewiesen]. Bitte richten Sie die weitere Korrespondenz an unsere Kanzlei.</w:t>
      </w:r>
    </w:p>
    <w:p>
      <w:pPr>
        <w:pStyle w:val="Heading1"/>
        <w:widowControl/>
        <w:spacing w:before="140"/>
      </w:pPr>
      <w:r>
        <w:t>2 Akteneinsicht</w:t>
      </w:r>
    </w:p>
    <w:p>
      <w:pPr>
        <w:widowControl/>
      </w:pPr>
      <w:r>
        <w:t>Wir beantragen Akteneinsicht nach Paragraf 147 StPO einschließlich der vorhandenen Anzeige, Zustellunterlagen und dokumentierten Zeugenaussagen. Soweit die Akte elektronisch geführt wird, bitten wir um Bereitstellung über den vorgesehenen sicheren Zugang. Andernfalls bitten wir um Mitteilung des zulässigen Einsichtswegs.</w:t>
      </w:r>
    </w:p>
    <w:p>
      <w:pPr>
        <w:pStyle w:val="Heading1"/>
        <w:widowControl/>
        <w:spacing w:before="140"/>
      </w:pPr>
      <w:r>
        <w:t>3 Einlassung und Termin</w:t>
      </w:r>
    </w:p>
    <w:p>
      <w:pPr>
        <w:widowControl/>
      </w:pPr>
      <w:r>
        <w:t>Vor vollständiger Akteneinsicht wird keine Einlassung zur Sache abgegeben. Die polizeiliche Einladung vom 1. Oktober wird als Anlage K1 bezeichnet. Über die Wahrnehmung des dort genannten Termins wird nach Prüfung des Originals und der konkreten Ladungsart gegenüber der zuständigen Stelle gesondert mitgeteilt. Dieses Schreiben enthält weder ein Schuldeingeständnis noch eine Tatsachendarstellung zum Paketinhalt.</w:t>
      </w:r>
    </w:p>
    <w:p>
      <w:pPr>
        <w:pStyle w:val="Heading1"/>
        <w:widowControl/>
        <w:spacing w:before="140"/>
      </w:pPr>
      <w:r>
        <w:t>4 Weitere Unterlagen</w:t>
      </w:r>
    </w:p>
    <w:p>
      <w:pPr>
        <w:widowControl/>
      </w:pPr>
      <w:r>
        <w:t>Der Mandant wird vorhandene Originalunterlagen unverändert aufbewahren. Eine spätere dokumentierte Herausgabe der Sendung wird getrennt abgestimmt.</w:t>
      </w:r>
    </w:p>
    <w:p>
      <w:pPr>
        <w:widowControl/>
      </w:pPr>
      <w:r>
        <w:t>[Datum und anwaltliche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Verteidigungsanzeige und Akteneinsichtsgesuch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