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SI-2026-019</w:t>
      </w:r>
    </w:p>
    <w:p>
      <w:r>
        <w:t>7. Oktober 2026</w:t>
      </w:r>
    </w:p>
    <w:p>
      <w:pPr>
        <w:pStyle w:val="Title"/>
      </w:pPr>
      <w:r>
        <w:t>Schadensanzeige an den Frachtführer Entwurf</w:t>
      </w:r>
    </w:p>
    <w:p>
      <w:pPr>
        <w:widowControl/>
      </w:pPr>
      <w:r>
        <w:t>An die Wegweiser Fracht GmbH</w:t>
        <w:br/>
        <w:t>Schaden WF 26101</w:t>
      </w:r>
    </w:p>
    <w:p>
      <w:pPr>
        <w:pStyle w:val="Heading1"/>
        <w:widowControl/>
        <w:spacing w:before="140"/>
      </w:pPr>
      <w:r>
        <w:t>1 Schadensanzeige</w:t>
      </w:r>
    </w:p>
    <w:p>
      <w:pPr>
        <w:widowControl/>
      </w:pPr>
      <w:r>
        <w:t>Wir vertreten die Tonwerk Treibgut GmbH und zeigen den Bruchschaden an der am 1. Oktober 2026 in Hamburg abgelieferten Keramikpalette an. Betroffen sind nach bisheriger Feststellung 18 Schalen. Der vorläufige Warenwert beträgt 2.160 EUR netto. Die abschließende Forderung bleibt nach Prüfung von Restwert, Gewicht und Haftungsumfang vorbehalten.</w:t>
      </w:r>
    </w:p>
    <w:p>
      <w:pPr>
        <w:pStyle w:val="Heading1"/>
        <w:widowControl/>
        <w:spacing w:before="140"/>
      </w:pPr>
      <w:r>
        <w:t>2 Transport und Nachweise</w:t>
      </w:r>
    </w:p>
    <w:p>
      <w:pPr>
        <w:widowControl/>
      </w:pPr>
      <w:r>
        <w:t>Die Palette wurde am Abgangsort ohne Vorbehalt übernommen. Bei der Ablieferung beziehungsweise dem anschließenden Auspacken wurden Nässe, eine eingerissene Folienecke und Bruch festgestellt. Die genaue Erkennbarkeit und der Anzeigezeitpunkt werden weiter aufgeklärt. Transportauftrag und Nachrichtenprotokoll werden als Anlagen K1 und K2 beigefügt. Bitte sichern Sie Fahrerunterlagen und vorhandene Bilder.</w:t>
      </w:r>
    </w:p>
    <w:p>
      <w:pPr>
        <w:pStyle w:val="Heading1"/>
        <w:widowControl/>
        <w:spacing w:before="140"/>
      </w:pPr>
      <w:r>
        <w:t>3 Haftung und weiterer Ablauf</w:t>
      </w:r>
    </w:p>
    <w:p>
      <w:pPr>
        <w:widowControl/>
      </w:pPr>
      <w:r>
        <w:t>Die Haftung richtet sich nach den einschlägigen transportrechtlichen Voraussetzungen, insbesondere Paragraf 425 HGB; Anzeige und Vermutungswirkungen nach Paragraf 438 HGB werden gesondert geprüft. Ihren Verpackungseinwand bitten wir konkret zu belegen. Die Verpackung bleibt bis zum [Abstimmungstermin] verfügbar. Bitte bestätigen Sie die Schadenaufnahme und nennen Sie benötigte Nachweise bis zum [Datum].</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Schadensanzeige an den Frachtführer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