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SI-2026-020</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Marlene Stein. Gegenüber steht Stadtblick Online GmbH. Gegenstand ist: Nicht lizenzierte Nutzung eines Fotos in einem Augsburger Online Magazin mit fehlender Urheberbenennung. Der erste Arbeitsschritt ist die Vorbereitung des folgenden Dokuments: Unterlassungs und Auskunftsaufforderung. Gerichtliche Erweiterungen, Anerkenntnisse, Vergleiche und externer Versand sind daraus nicht automatisch freigegeben.</w:t>
      </w:r>
    </w:p>
    <w:p>
      <w:pPr>
        <w:pStyle w:val="Heading1"/>
        <w:widowControl/>
        <w:spacing w:before="140"/>
      </w:pPr>
      <w:r>
        <w:t>2 Honorarstand</w:t>
      </w:r>
    </w:p>
    <w:p>
      <w:pPr>
        <w:widowControl/>
      </w:pPr>
      <w:r>
        <w:t>Vorgesehen ist ein Stundenhonorar von 250,00 EUR netto. Tatsächliche Minuten werden ohne automatische Aufrundung erfasst; ein Budgetdeckel ist nicht vereinbart.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