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SI-2026-024</w:t>
      </w:r>
    </w:p>
    <w:p>
      <w:r>
        <w:t>7. Oktober 2026</w:t>
      </w:r>
    </w:p>
    <w:p>
      <w:pPr>
        <w:pStyle w:val="Title"/>
      </w:pPr>
      <w:r>
        <w:t>Antrag auf erneute Entscheidung Entwurf</w:t>
      </w:r>
    </w:p>
    <w:p>
      <w:pPr>
        <w:widowControl/>
      </w:pPr>
      <w:r>
        <w:t>An die Stadt Göttingen</w:t>
        <w:br/>
        <w:t>zuständige Stelle für Sondernutzungen</w:t>
      </w:r>
    </w:p>
    <w:p>
      <w:pPr>
        <w:pStyle w:val="Heading1"/>
        <w:widowControl/>
        <w:spacing w:before="140"/>
      </w:pPr>
      <w:r>
        <w:t>1 Geänderter Aufstellvorschlag</w:t>
      </w:r>
    </w:p>
    <w:p>
      <w:pPr>
        <w:widowControl/>
      </w:pPr>
      <w:r>
        <w:t>Wir vertreten die Buchfalter GbR. Anstelle der am 15. September beantragten zwei Lesetische mit Stühlen beantragt unsere Mandantin die Prüfung eines einzelnen Tisches ohne Stühle. Der neue maßstäbliche Plan wird als Anlage K1 vorgelegt; er weist Gebäudekante, Baumscheibe, Hauseingang und verbleibende nutzbare Breite aus.</w:t>
      </w:r>
    </w:p>
    <w:p>
      <w:pPr>
        <w:pStyle w:val="Heading1"/>
        <w:widowControl/>
        <w:spacing w:before="140"/>
      </w:pPr>
      <w:r>
        <w:t>2 Tatsächliche Berichtigung</w:t>
      </w:r>
    </w:p>
    <w:p>
      <w:pPr>
        <w:widowControl/>
      </w:pPr>
      <w:r>
        <w:t>Die ursprüngliche Breitenangabe von 2,10 Metern berücksichtigte die Baumscheibe nicht zutreffend. Unsere Mandantin hält daran nicht fest. Sie bittet um eine gemeinsame Ortsbesichtigung am [Termin] und um Mitteilung, welche konkreten örtlichen Anforderungen für die kleinere Variante gelten. Die Ortsnotiz wird als Anlage K2 bezeichnet.</w:t>
      </w:r>
    </w:p>
    <w:p>
      <w:pPr>
        <w:pStyle w:val="Heading1"/>
        <w:widowControl/>
        <w:spacing w:before="140"/>
      </w:pPr>
      <w:r>
        <w:t>3 Bestehender Bescheid</w:t>
      </w:r>
    </w:p>
    <w:p>
      <w:pPr>
        <w:widowControl/>
      </w:pPr>
      <w:r>
        <w:t>Die Ablehnung vom 29. September und ihre Rechtsbehelfsbelehrung werden gesondert geprüft. Dieser geänderte Antrag enthält keinen Verzicht auf einen zulässigen Rechtsbehelf und wird nicht als automatische Fristwahrung behandelt. Bitte entscheiden Sie über die neue Variante anhand der maßgeblichen örtlichen Regelung. Eine Aufstellung vor Erlaubnis ist nicht vorgesehen.</w:t>
      </w:r>
    </w:p>
    <w:p>
      <w:pPr>
        <w:widowControl/>
      </w:pPr>
      <w:r>
        <w:t>[Datum und Unterschrift]</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 auf erneute Entscheidung Entwurf</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