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SI-2026-024</w:t>
      </w:r>
    </w:p>
    <w:p>
      <w:r>
        <w:t>7. Oktober 2026</w:t>
      </w:r>
    </w:p>
    <w:p>
      <w:pPr>
        <w:pStyle w:val="Title"/>
      </w:pPr>
      <w:r>
        <w:t>Vermerk zu Mandat und Honorar</w:t>
      </w:r>
    </w:p>
    <w:p>
      <w:pPr>
        <w:pStyle w:val="Heading1"/>
        <w:widowControl/>
        <w:spacing w:before="140"/>
      </w:pPr>
      <w:r>
        <w:t>1 Mandat und Auftrag</w:t>
      </w:r>
    </w:p>
    <w:p>
      <w:pPr>
        <w:widowControl/>
      </w:pPr>
      <w:r>
        <w:t>Mandantin beziehungsweise Mandant ist Buchfalter GbR, vertreten durch Amelie Wendt. Gegenüber steht Stadt Göttingen. Gegenstand ist: Ablehnung einer Sondernutzung für zwei Lesetische auf dem Gehweg bei unklarer Restbreite. Der erste Arbeitsschritt ist die Vorbereitung des folgenden Dokuments: Antrag auf erneute Entscheidung. Gerichtliche Erweiterungen, Anerkenntnisse, Vergleiche und externer Versand sind daraus nicht automatisch freigegeben.</w:t>
      </w:r>
    </w:p>
    <w:p>
      <w:pPr>
        <w:pStyle w:val="Heading1"/>
        <w:widowControl/>
        <w:spacing w:before="140"/>
      </w:pPr>
      <w:r>
        <w:t>2 Honorarstand</w:t>
      </w:r>
    </w:p>
    <w:p>
      <w:pPr>
        <w:widowControl/>
      </w:pPr>
      <w:r>
        <w:t>Vorgesehen sind 230,00 EUR netto je Stunde mit einem verbindlichen Honorarhöchstbetrag von 1.200,00 EUR netto für den abgegrenzten Auftrag. Der Deckel wird durch weitere Zeiteinträge nicht automatisch erhöht. Die Mandantschaft hat diese Honorargrundlage im Gespräch am 6. Oktober bestätigt; der vorliegende Vermerk hält den Gesprächsstand fest. Form, Pflichtinformationen und Reichweite bleiben vor Rechnungsfreigabe anhand der vollständigen Mandatsunterlagen zu prüfen. Die genannten Geldbeträge verstehen sich netto. Umsatzsteuer, Auslagen und erforderliche Verbraucherinformationen sind gesondert zu prüfen.</w:t>
      </w:r>
    </w:p>
    <w:p>
      <w:pPr>
        <w:pStyle w:val="Heading1"/>
        <w:widowControl/>
        <w:spacing w:before="140"/>
      </w:pPr>
      <w:r>
        <w:t>3 Leistung und Rechnung</w:t>
      </w:r>
    </w:p>
    <w:p>
      <w:pPr>
        <w:widowControl/>
      </w:pPr>
      <w:r>
        <w:t>Die bestätigten Tätigkeiten und offenen Rückfragen stehen in der Zeitnotiz vom 7. Oktober und in der Excel-Arbeitsmappe. Fehlende Minuten sind nicht null. Unbestätigte Zeiten bleiben von einem abrechenbaren Zwischensaldo getrennt. Ein Entwurf erhält noch keine endgültige Rechnungsnummer. Zahlungsstatus, E-Rechnungsformat, Rechnungsadresse und Fälligkeit sind vor Ausgabe zu ergänzen.</w:t>
      </w:r>
    </w:p>
    <w:p>
      <w:pPr>
        <w:pStyle w:val="Heading1"/>
        <w:widowControl/>
        <w:spacing w:before="140"/>
      </w:pPr>
      <w:r>
        <w:t>4 Mandatsprüfung und nächster Schritt</w:t>
      </w:r>
    </w:p>
    <w:p>
      <w:pPr>
        <w:widowControl/>
      </w:pPr>
      <w:r>
        <w:t>Identität, Vertretungsbefugnis, Interessenkonflikte und die fallbezogene Anwendbarkeit des Geldwäschegesetzes sind bei der Aufnahme zu dokumentieren. Der Name des Fachgebiets ersetzt diese Prüfung nicht. Bei Verbrauchern sind Abschlussweg und gegebenenfalls Widerrufsinformationen zu klären. Verantwortlich für die fachliche Freigabe ist Dr. Frieda Blum. Jona Rapp pflegt die Ablage. Nach Ergänzung der offenen Tatsachen wird der Dokumententwurf aus Datei 09 erneut geprüft.</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Vermerk zu Mandat und Honorar</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