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Tauber</w:t>
      </w:r>
    </w:p>
    <w:p>
      <w:r>
        <w:t>Rechtsanwalt Benno Seitz</w:t>
        <w:br/>
        <w:t>Insolvenzverwalter der Café Abendrot GmbH</w:t>
        <w:br/>
        <w:t>Kanzlei Seitz und Amsel, Ulmenbogen 4, 93049 Regensburg</w:t>
      </w:r>
    </w:p>
    <w:p>
      <w:r>
        <w:t>12.10.2026</w:t>
      </w:r>
    </w:p>
    <w:p>
      <w:pPr>
        <w:pStyle w:val="Title"/>
      </w:pPr>
      <w:r>
        <w:t>Unterlagenstand zur Personalentscheidung</w:t>
      </w:r>
    </w:p>
    <w:p>
      <w:pPr/>
      <w:r>
        <w:t>Herr Seitz,</w:t>
      </w:r>
    </w:p>
    <w:p>
      <w:pPr/>
      <w:r>
        <w:t>für Herrn Amsel liegen der Arbeitsvertrag und die Angaben der Geschäftsführerin vor. Die Filiale ist geschlossen, aber Herr Amsel wird derzeit für Transporte und Bestandsarbeit am Backsteg eingesetzt. Für die weitere Planung muss geklärt werden, welche Tätigkeit nach Abschluss dieser Arbeiten tatsächlich verbleibt.</w:t>
      </w:r>
    </w:p>
    <w:p>
      <w:pPr/>
      <w:r>
        <w:t>Ein Kündigungsschreiben ist noch nicht erstellt. Die Beschäftigtenzahl, die Vertragsdaten der übrigen Personen und etwaige besondere Schutzrechte sind noch nicht vollständig erhoben. Bei Frau Seel ist die mitgeteilte Schwangerschaft samt Bescheinigung gesondert zu berücksichtigen.</w:t>
      </w:r>
    </w:p>
    <w:p>
      <w:pPr/>
      <w:r>
        <w:t>Bitte entscheiden Sie nach Sichtung der vollständigen Personalunterlagen, ob und zu welchem Zeitpunkt eine Kündigung vorbereitet werden soll. Dabei sind die konkrete Kündigungsfrist und die übrigen Voraussetzungen zu prüfen. Der bloße Eröffnungsbeschluss ersetzt diese Prüfung nicht. Für einen Zugang wäre eine verlässliche Zustellform samt Nachweis vorzusehen.</w:t>
      </w:r>
    </w:p>
    <w:p>
      <w:pPr/>
      <w:r>
        <w:t>Nora Tauber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Unterlagenstand zur Personalentscheidung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