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Jule Merz</w:t>
        <w:br/>
        <w:t>Insolvenzverwalterin der Werkzeugkiste Augsburg GmbH</w:t>
        <w:br/>
        <w:t>Kanzlei Merz und Karg, Eichenbogen 3, 86150 Augsburg</w:t>
      </w:r>
    </w:p>
    <w:p>
      <w:r>
        <w:t>Sachbearbeiter Severin Geuder</w:t>
      </w:r>
    </w:p>
    <w:p>
      <w:r>
        <w:t>05.10.2026</w:t>
      </w:r>
    </w:p>
    <w:p>
      <w:pPr>
        <w:pStyle w:val="Title"/>
      </w:pPr>
      <w:r>
        <w:t>Übernahme Werkzeugkiste</w:t>
      </w:r>
    </w:p>
    <w:p>
      <w:pPr/>
      <w:r>
        <w:t>Sehr geehrter Herr Geuder,</w:t>
      </w:r>
    </w:p>
    <w:p>
      <w:pPr/>
      <w:r>
        <w:t>bitte übernehmen Sie die laufende Sachbearbeitung im Verfahren 3 IN 1842/26. Die Gesellschaft betreibt einen Laden mit angeschlossenem Versandlager. Der Onlineshop nimmt seit dem 30. September keine neuen Bestellungen mehr an. Drei Beschäftigte bearbeiten Rücksendungen und eine Bestandsaufnahme.</w:t>
      </w:r>
    </w:p>
    <w:p>
      <w:pPr/>
      <w:r>
        <w:t>Der Vermieter beansprucht Rechte an sämtlichen Gegenständen in den Räumen. Unter den Maschinen steht jedoch ein geleaster Bohrständer. Die Bank hat zusätzlich eine ältere Sicherungsübereignung von Waren angesprochen. Bitte erfassen Sie Gegenstand, Seriennummer, Herkunft und den jeweils behaupteten Rechtsgrund.</w:t>
      </w:r>
    </w:p>
    <w:p>
      <w:pPr/>
      <w:r>
        <w:t>Herr Rupprecht hat mehrere offene Lohnanfragen und Lieferantenrechnungen weitergeleitet. Prüfen Sie das Leistungsdatum und bewahren Sie die Originalnachrichten mit ihren Anlagen auf. Die Bezeichnung „Masse“ auf einer Rechnung beantwortet nicht, wie die Forderung tatsächlich einzuordnen ist. Zahlungsfreigaben erteile ich gesondert.</w:t>
      </w:r>
    </w:p>
    <w:p>
      <w:pPr/>
      <w:r>
        <w:t>Mit freundlichen Grüßen</w:t>
        <w:br/>
        <w:t>Jule Merz</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Übernahme Werkzeugkiste</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