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Jule Merz</w:t>
        <w:br/>
        <w:t>Insolvenzverwalterin der Werkzeugkiste Augsburg GmbH</w:t>
        <w:br/>
        <w:t>Kanzlei Merz und Karg, Eichenbogen 3, 86150 Augsburg</w:t>
      </w:r>
    </w:p>
    <w:p>
      <w:r>
        <w:t>Mara Karg</w:t>
        <w:br/>
        <w:t>Kastanienrain 14, 86156 Augsburg</w:t>
      </w:r>
    </w:p>
    <w:p>
      <w:r>
        <w:t>12.10.2026</w:t>
      </w:r>
    </w:p>
    <w:p>
      <w:pPr>
        <w:pStyle w:val="Title"/>
      </w:pPr>
      <w:r>
        <w:t>Entwurf einer Auskunft zu Entgeltunterlagen</w:t>
      </w:r>
    </w:p>
    <w:p>
      <w:pPr/>
      <w:r>
        <w:t>Sehr geehrte Frau Karg,</w:t>
      </w:r>
    </w:p>
    <w:p>
      <w:pPr/>
      <w:r>
        <w:t>Ihre Septemberabrechnung und den Nachweis über sechzehn Arbeitsstunden im Oktober haben wir erhalten. Die Abrechnung weist 2.460,00 EUR brutto und einen rechnerischen Nettoauszahlungsbetrag von 1.760,00 EUR aus. Einen Zahlungseingang haben Sie nicht bestätigt.</w:t>
      </w:r>
    </w:p>
    <w:p>
      <w:pPr/>
      <w:r>
        <w:t>Bitte übersenden Sie der Sachbearbeitung noch Ihren Arbeitsvertrag und teilen Sie mit, ob Sie wegen Insolvenzgeld bereits Kontakt zur Agentur für Arbeit aufgenommen oder einen Antrag gestellt haben. Wir werden den Zeitraum und die Angaben der Lohnstelle abgleichen. Eine Entscheidung der Agentur für Arbeit können wir nicht vorwegnehmen.</w:t>
      </w:r>
    </w:p>
    <w:p>
      <w:pPr/>
      <w:r>
        <w:t>Die im Oktober geleisteten Stunden werden getrennt erfasst. Für die Abrechnung ist die vereinbarte Monatsvergütung und die konkrete Beschäftigung zu prüfen. Diese Nachricht enthält noch keine Zahlungsfreigabe und keine Kündigung.</w:t>
      </w:r>
    </w:p>
    <w:p>
      <w:pPr/>
      <w:r>
        <w:t>Mit freundlichen Grüßen</w:t>
        <w:br/>
        <w:t>Jule Merz</w:t>
      </w:r>
    </w:p>
    <w:p>
      <w:pPr/>
      <w:r>
        <w:t>Interner Bearbeitungsstand: Entwurf vom 12. Oktober, noch nicht versandt. Freigabe durch die Insolvenzverwalterin steht aus.</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Entwurf einer Auskunft zu Entgeltunterlagen</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