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Arbeitsorganisation der Kommunikationsdienste</w:t>
      </w:r>
    </w:p>
    <w:p>
      <w:pPr>
        <w:keepNext/>
        <w:spacing w:after="60"/>
      </w:pPr>
      <w:r>
        <w:t>Von: Dr. Miriam Seidel, Geschäftsführerin</w:t>
      </w:r>
    </w:p>
    <w:p>
      <w:pPr>
        <w:keepNext/>
        <w:spacing w:after="60"/>
      </w:pPr>
      <w:r>
        <w:t>An: Team der Seidel und Kühn Rechtsanwaltsgesellschaft mbH</w:t>
      </w:r>
    </w:p>
    <w:p>
      <w:pPr>
        <w:keepNext/>
        <w:spacing w:after="60"/>
      </w:pPr>
      <w:r>
        <w:t>Datum: 10. September 2026</w:t>
      </w:r>
    </w:p>
    <w:p>
      <w:pPr>
        <w:keepNext/>
        <w:spacing w:after="60"/>
      </w:pPr>
      <w:r>
        <w:t>Bezug: Organisation 09/2026, Fassung 2</w:t>
      </w:r>
    </w:p>
    <w:p>
      <w:pPr>
        <w:pStyle w:val="Heading1"/>
      </w:pPr>
      <w:r>
        <w:t>1. Konten und Aufträge</w:t>
      </w:r>
    </w:p>
    <w:p>
      <w:pPr/>
      <w:r>
        <w:t>Die Verträge für Textkontor 3.2 und Dialogufer Empfang 2.1 laufen auf die Seidel und Kühn Rechtsanwaltsgesellschaft mbH, Mainz. Die Gesellschaft bezahlt die Lizenzen und entscheidet, welche Funktionen eingesetzt werden. Änderungen an den zentralen Einstellungen nimmt Jonas Bär nach meiner Bestätigung vor. Beschäftigte haben keine Berechtigung, weitere Module zu buchen oder die Dienste außerhalb der Kanzleiaufträge anzubieten.</w:t>
      </w:r>
    </w:p>
    <w:p>
      <w:pPr/>
      <w:r>
        <w:t>Rechtsanwalt Felix Kühn ist seit Januar bei uns angestellt und nicht Gesellschafter. Er nutzt das Konto felix.kuehn für die Bearbeitung zugewiesener Mandate und für angeforderte redaktionelle Entwürfe. Die Kontobezeichnung steht aus Gründen der Nachvollziehbarkeit im Dokumentverlauf. Sie bedeutet nicht, dass Felix einen eigenen öffentlichen Dienst betreibt. Unsere Sachbearbeiterinnen dürfen vorbereitete Textvorschläge übernehmen, müssen aber den verantwortlichen Anwalt vor dem Versand einbeziehen.</w:t>
      </w:r>
    </w:p>
    <w:p>
      <w:pPr>
        <w:pStyle w:val="Heading1"/>
      </w:pPr>
      <w:r>
        <w:t>2. Veröffentlichung und Redaktion</w:t>
      </w:r>
    </w:p>
    <w:p>
      <w:pPr/>
      <w:r>
        <w:t>Für die Website-Rubrik Gespräch in Mainz trage ich die redaktionelle Verantwortung namens der Gesellschaft. Beiträge werden mir in ihrer vorgesehenen Endfassung vorgelegt. Ich kann den Inhalt ändern, zurückgeben oder vollständig ablehnen. Lea Roth organisiert Satz, Bilder und Veröffentlichung. Eine von mir genehmigte Textfassung darf nicht durch einen weiteren Generierungslauf inhaltlich ergänzt werden, ohne dass sie mir erneut vorgelegt wird.</w:t>
      </w:r>
    </w:p>
    <w:p>
      <w:pPr/>
      <w:r>
        <w:t>Für den Beitrag zur Schulstraße habe ich Felix beauftragt, die Abläufe aus unseren internen Notizen allgemeinverständlich zu erläutern. Mandatsunterlagen bleiben im Mandatsordner. Lea erhält nur die gesondert erstellte Artikelfassung. Die öffentliche Website ist ohne Anmeldung erreichbar; der Beitrag soll zusätzlich im frei abonnierbaren Wochenbrief verlinkt werden.</w:t>
      </w:r>
    </w:p>
    <w:p>
      <w:pPr>
        <w:pStyle w:val="Heading1"/>
      </w:pPr>
      <w:r>
        <w:t>3. Empfang und Zusatzmodule</w:t>
      </w:r>
    </w:p>
    <w:p>
      <w:pPr/>
      <w:r>
        <w:t>Der Telefonassistent nimmt außerhalb unserer Sprechzeiten Rückrufwünsche entgegen. Der Websitechat darf keine Mandate zusagen. Beide Dienste werden vom Anbieter unter der Produktbezeichnung Dialogufer bereitgestellt; wir haben Begrüßung, Öffnungszeiten und Rückrufkategorien konfiguriert. Eine eigene Entwicklung oder ein eigenes Modelltraining wurde nicht bestellt.</w:t>
      </w:r>
    </w:p>
    <w:p>
      <w:pPr/>
      <w:r>
        <w:t>Das angebotene Zusatzmodul Resonanz steht nicht auf unserer Bestellliste. Jonas soll bis zum 28. September die vorhandenen Einstellungen dokumentieren. Gespräche der Beschäftigten sollen nicht bewertet werden. Ob diese Vorgabe technisch bereits zuverlässig umgesetzt ist, lässt sich aus der Angebotsbeschreibung nicht erkennen. Bis zu meiner Entscheidung bleibt eine Ausweitung des Piloten ausgeschlossen.</w:t>
      </w:r>
    </w:p>
    <w:sectPr w:rsidR="00FC693F" w:rsidRPr="0006063C" w:rsidSect="00034616">
      <w:footerReference w:type="default" r:id="rId9"/>
      <w:pgSz w:w="12240" w:h="15840"/>
      <w:pgMar w:top="1152" w:right="1224" w:bottom="1152" w:left="1224"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200"/>
      <w:contextualSpacing/>
    </w:pPr>
    <w:rPr>
      <w:rFonts w:ascii="Times New Roman" w:hAnsi="Times New Roman"/>
      <w:b/>
      <w:color w:val="000000"/>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Arbeitsorganisation der Kommunikationsdienste</dc:title>
  <dc:subject/>
  <dc:creator>Dr. Miriam Seidel, Geschäftsführerin</dc:creator>
  <cp:keywords/>
  <dc:description>generated by python-docx</dc:description>
  <cp:lastModifiedBy>Dr. Miriam Seidel, Geschäftsführerin</cp:lastModifiedBy>
  <cp:revision>1</cp:revision>
  <dcterms:created xsi:type="dcterms:W3CDTF">2013-12-23T23:15:00Z</dcterms:created>
  <dcterms:modified xsi:type="dcterms:W3CDTF">2013-12-23T23:15:00Z</dcterms:modified>
  <cp:category/>
</cp:coreProperties>
</file>