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Arbeitsfassung zur Neuordnung der regionalen Elektrizitätsnetze</w:t>
      </w:r>
    </w:p>
    <w:p>
      <w:r>
        <w:t>An: Verteiler Fachgespräch Netze in Gemeinwirtschaft</w:t>
      </w:r>
    </w:p>
    <w:p>
      <w:r>
        <w:t>14.09.2026 | AG-EN 26/14 | Arbeitsfassung 0.4 | nicht eingebracht</w:t>
      </w:r>
    </w:p>
    <w:p>
      <w:pPr>
        <w:pStyle w:val="Heading1"/>
      </w:pPr>
      <w:r>
        <w:t>1. Zweck und Anwendungsbereich</w:t>
      </w:r>
    </w:p>
    <w:p>
      <w:r>
        <w:t>Die Arbeitsgruppe legt den nachstehenden Regelungsvorschlag zur Beratung mit Kommunen, Beschäftigten und Unternehmen vor. Über die Einbringung in den Landtag ist noch nicht entschieden. Die Anlage zur genauen Bezeichnung der Grundstücke wird aus den Unternehmensunterlagen vorbereitet. Die vorliegende Fassung enthält den diskutierten Anlagenweg; die in Abschnitt 3 beschriebene Anteilsvariante wird weiter geprüft.</w:t>
      </w:r>
    </w:p>
    <w:p>
      <w:r>
        <w:t>Paragraf 1. Das Gesetz dient der dauerhaften gemeinwirtschaftlichen Bewirtschaftung regionaler Elektrizitätsverteilernetze in Hessen. Versorgungssicherheit, Erneuerung der Anlagen und nachvollziehbare Investitionsentscheidungen sollen gegenüber kurzfristigen Ausschüttungsinteressen Vorrang erhalten. Erfasst werden wirtschaftlich zusammenhängende Verteilernetze mit mindestens 100.000 unmittelbar oder mittelbar angeschlossenen Kunden, deren Eigentümergesellschaft am 31. August 2026 zu mehr als der Hälfte im privaten Eigentum steht.</w:t>
      </w:r>
    </w:p>
    <w:p>
      <w:r>
        <w:t>Paragraf 2. Zum 1. Januar 2028 gehen die in der gesetzlichen Anlage bezeichneten, in Hessen belegenen Netzanlagen und Betriebsgrundstücke auf die durch dieses Gesetz zu errichtende EnergieNetz Hessen AöR über. Nach der derzeitigen Datenerhebung betrifft dies bei der Hessenbogen Netz GmbH die Anlagenkomplexe N-01 bis N-05 sowie N-09. Die Anlage bezeichnet Leitungsabschnitte, Umspannwerke, Ortsnetzstationen, Betriebsgrundstücke und betriebsnotwendige Fahrzeuge. Die bisherige Eigentümerin hat die zur Fortführung erforderlichen technischen Unterlagen am Übergangstag bereitzustellen.</w:t>
      </w:r>
    </w:p>
    <w:p>
      <w:r>
        <w:t>Die wirtschaftliche Funktion eines Gegenstands für den Netzbetrieb ist bei der Aufnahme in die Anlage darzustellen. Nicht für den Stromnetzbetrieb genutzte Mietflächen und das gesondert vermarktete Glasfasernetz sollen nicht übergehen. Über die Einbeziehung der Schaltanlage in Thüringen besteht keine Einigung. Die Geschäftsstelle wird bis Ende Oktober eine katasterbezogene Fassung der Grundstücksliste vorlegen. Der Betreiber hat bisher nur seine kaufmännischen Anlagenkennungen übermittelt.</w:t>
      </w:r>
    </w:p>
    <w:p>
      <w:r>
        <w:t>Paragraf 3. Die EnergieNetz Hessen AöR bewirtschaftet die übernommenen Anlagen zur Versorgung der Allgemeinheit. Der Verwaltungsrat beschließt einen rollierenden Investitionsplan über fünf Jahre. Von seinen neun Mitgliedern werden drei vom Land, drei von den beteiligten Kommunen und drei von den Beschäftigten bestimmt. Die Einzelheiten der Bestellung werden im Errichtungsteil des Gesetzes geregelt. Nutzervertretungen erhalten ein Anhörungsrecht bei der Fortschreibung des Investitionsplans.</w:t>
      </w:r>
    </w:p>
    <w:p>
      <w:r>
        <w:br w:type="page"/>
      </w:r>
    </w:p>
    <w:p>
      <w:pPr>
        <w:pStyle w:val="Heading1"/>
      </w:pPr>
      <w:r>
        <w:t>2. Finanzen und Übergang</w:t>
      </w:r>
    </w:p>
    <w:p>
      <w:r>
        <w:t>Paragraf 4. Die bisherige Eigentümerin erhält für die übergehenden Gegenstände eine Entschädigung in Geld. Der Berechnung sollen die nachhaltig erzielbaren Erträge des übernommenen Netzbestands zugrunde liegen; betriebsnotwendige Aufwendungen und der dokumentierte Erneuerungsbedarf sind zu berücksichtigen. Die Arbeitsgruppe strebt für den gegenwärtig diskutierten Bestand einen Finanzrahmen von 210 Millionen Euro an. Ob dieser Betrag im Gesetz als Höchstbetrag oder lediglich in der Finanzplanung ausgewiesen wird, soll nach Eingang der Stellungnahmen entschieden werden.</w:t>
      </w:r>
    </w:p>
    <w:p>
      <w:r>
        <w:t>Die Entschädigung soll grundsätzlich am Übergangstag fällig sein. Auf Antrag der bisherigen Eigentümerin sollen Teilzahlungen vereinbart werden können. Die für die Berechnung verwendeten Unterlagen werden dieser vor der Festsetzung zugänglich gemacht. Die Arbeitsgruppe bittet um Vorschläge für eine nachvollziehbare Behandlung bestehender Kredite und Sicherheiten. Im Anlagenmodell soll nicht das gesamte sonstige Unternehmen auf die Anstalt übergehen.</w:t>
      </w:r>
    </w:p>
    <w:p>
      <w:r>
        <w:t>Paragraf 5. Die Anstalt führt die laufende Instandhaltung während einer Übergangszeit gemeinsam mit der bisherigen Betreiberorganisation fort. Sie schließt hierzu vor dem Übergangstag die erforderlichen Betriebsführungs- und Dienstleistungsvereinbarungen. Beschäftigten soll eine Fortsetzung ihrer Tätigkeit zu vergleichbaren Bedingungen angeboten werden. Die Verhandlungen mit den zuständigen Vertretungen sind im Jahr 2027 zu führen. Das Papier enthält noch keine mit diesen abgestimmte Personalregelung.</w:t>
      </w:r>
    </w:p>
    <w:p>
      <w:r>
        <w:t>Die Arbeitsgruppe erwartet, dass die Kommunen die bestehenden Wegenutzungsverträge für den verbleibenden Zeitraum mit dem gemeinwirtschaftlichen Träger fortsetzen. Die Vertragslaufzeiten sollen durch das Vorhaben nicht verkürzt werden. Der kommunale Netzservice soll die Wartung übernehmen können, ohne dass die örtlichen Versorgungsaufgaben unterbrochen werden. Im Fachgespräch ist zu klären, welche Vertragsänderungen hierfür erforderlich sind.</w:t>
      </w:r>
    </w:p>
    <w:p>
      <w:r>
        <w:t>Nach Abzug laufender Kosten und der im Investitionsplan vorgesehenen Mittel sollen Überschüsse zunächst der Rücklage zugeführt werden. Ab dem dritten Betriebsjahr wird eine jährliche Abführung von acht Millionen Euro an den Landeshaushalt angestrebt. Der Arbeitsgruppe ist bekannt, dass die kommunalen Betreibervertreter eine feste Abführung vor Abschluss des Erneuerungsprogramms ablehnen. Die Finanzierungsgruppe soll hierzu eine überarbeitete Fassung vorlegen.</w:t>
      </w:r>
    </w:p>
    <w:p>
      <w:r>
        <w:br w:type="page"/>
      </w:r>
    </w:p>
    <w:p>
      <w:pPr>
        <w:pStyle w:val="Heading1"/>
      </w:pPr>
      <w:r>
        <w:t>3. Alternative und Beratungsbedarf</w:t>
      </w:r>
    </w:p>
    <w:p>
      <w:r>
        <w:t>Als Alternative zum Anlagenübergang wird die gesetzliche Übernahme sämtlicher Geschäftsanteile der Hessenbogen Netz GmbH durch die EnergieNetz Hessen AöR erörtert. Herr Riemer befürwortet diese Lösung, weil Arbeitgeber, Kreditnehmer und Vertragspartner auf Ebene der Netzgesellschaft unverändert bleiben könnten. Die kommunalen Vertreter haben erklärt, dass sie dem Verlust ihrer unmittelbaren Beteiligung bislang nicht zugestimmt haben. Die Mitarbeiterbeteiligung verlangt zunächst eine gesonderte Bewertung ihrer Position.</w:t>
      </w:r>
    </w:p>
    <w:p>
      <w:r>
        <w:t>Die Anteilsvariante würde nach derzeitigem Unternehmensbild auch das Glasfasernetz, die Thüringer Anlage und das vermietete Betriebsgebäude in der Gesellschaft belassen. Eine vorherige Abspaltung dieser Tätigkeiten ist nicht vereinbart. Die Geschäftsführung weist auf laufende gemeinsame IT- und Finanzierungsverträge hin. Die Arbeitsgruppe bittet deshalb um eine Gegenüberstellung des organisatorischen Aufwands beider Varianten. Die Anlage soll vor einer politischen Entscheidung nicht so behandelt werden, als sei der Umfang bereits endgültig festgelegt.</w:t>
      </w:r>
    </w:p>
    <w:p>
      <w:r>
        <w:t>Für den Anlagenweg stehen derzeit sechs Anlagenkomplexe im Vordergrund. N-01 bezeichnet die hessischen Mittelspannungsleitungen mit 1.180 Kilometern Länge; N-02 die Niederspannungsleitungen mit 2.960 Kilometern. N-03 umfasst zwölf Umspannwerke und N-04 die 846 Ortsnetzstationen. N-05 betrifft acht Betriebsgrundstücke. N-09 umfasst den überwiegend im Netzbetrieb verwendeten Fahrzeug- und Werkzeugbestand. Einzelfahrzeuglisten und Grundstücksurkunden sind noch nicht Bestandteil dieser Arbeitsfassung.</w:t>
      </w:r>
    </w:p>
    <w:p>
      <w:r>
        <w:t>Die Geschäftsstelle hat die Unternehmensdaten mit Stand 31. August 2026 angefordert. Sollten darin fremde oder nur gemietete Gegenstände enthalten sein, bittet sie um deren eindeutige Kennzeichnung mit Vertragspartner und Laufzeit. Eine Eigentumsübertragung fremder Anlagen ist mit dieser Arbeitsfassung noch nicht beschlossen. Für die Leittechnik wurde ein gesondertes Gespräch mit dem Dienstleister vereinbart.</w:t>
      </w:r>
    </w:p>
    <w:p>
      <w:r>
        <w:t>Stellungnahmen werden bis zum 9. Oktober 2026 an geschaeftsstelle@ag-energienetze.example erbeten. Die nächste interne Beratung ist für den 14. Oktober vorgesehen. Das geplante Übergangsdatum 1. Januar 2028 soll nach Auffassung der Arbeitsgruppe genügend Zeit für die technischen Vorbereitungen lassen. Die Netzgesellschaft hält diesen Zeitplan bislang für zu knapp. Ein parlamentarischer Beschluss, eine Verkündung oder eine verbindliche Übertragungsanordnung liegen dieser Arbeitsfassung nicht zugrunde.</w:t>
      </w:r>
    </w:p>
    <w:sectPr w:rsidR="00FC693F" w:rsidRPr="0006063C" w:rsidSect="00034616">
      <w:headerReference w:type="default" r:id="rId9"/>
      <w:footerReference w:type="default" r:id="rId10"/>
      <w:pgSz w:w="11906" w:h="16838"/>
      <w:pgMar w:top="1247" w:right="1304" w:bottom="1191" w:left="1304"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AG-EN 26/14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Parlamentarische Arbeitsgruppe Energienetze | Geschäftsstelle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1"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71" w:lineRule="auto"/>
    </w:pPr>
    <w:rPr>
      <w:rFonts w:ascii="Times New Roman" w:hAnsi="Times New Roman" w:eastAsia="Times New Roman" w:cs="Times New Roman"/>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71" w:lineRule="auto"/>
    </w:pPr>
    <w:rPr>
      <w:rFonts w:ascii="Times New Roman" w:hAnsi="Times New Roman" w:eastAsia="Times New Roman" w:cs="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71"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71" w:lineRule="auto"/>
      <w:contextualSpacing/>
    </w:pPr>
    <w:rPr>
      <w:rFonts w:ascii="Times New Roman" w:hAnsi="Times New Roman" w:eastAsia="Times New Roman" w:cs="Times New Roman"/>
      <w:b/>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Arbeitsfassung zur Neuordnung der regionalen Elektrizitätsnetze</dc:title>
  <dc:subject/>
  <dc:creator>Parlamentarische Arbeitsgruppe Energienetze</dc:creator>
  <cp:keywords/>
  <dc:description>generated by python-docx</dc:description>
  <cp:lastModifiedBy>Parlamentarische Arbeitsgruppe Energienetze</cp:lastModifiedBy>
  <cp:revision>1</cp:revision>
  <dcterms:created xsi:type="dcterms:W3CDTF">2026-09-14T00:00:00Z</dcterms:created>
  <dcterms:modified xsi:type="dcterms:W3CDTF">2026-09-14T00:00:00Z</dcterms:modified>
  <cp:category/>
</cp:coreProperties>
</file>