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Begründung der Arbeitsfassung vom 14 September 2026</w:t>
      </w:r>
    </w:p>
    <w:p>
      <w:r>
        <w:t>An: Teilnehmende des Fachgesprächs</w:t>
      </w:r>
    </w:p>
    <w:p>
      <w:r>
        <w:t>15.09.2026 | AG-EN 26/15 | Erläuterungen zur Arbeitsfassung</w:t>
      </w:r>
    </w:p>
    <w:p>
      <w:pPr>
        <w:pStyle w:val="Heading1"/>
      </w:pPr>
      <w:r>
        <w:t>1. Anlass und politische Entscheidung</w:t>
      </w:r>
    </w:p>
    <w:p>
      <w:r>
        <w:t>Die Arbeitsgruppe verfolgt das Ziel, die regionalen Stromnetze dauerhaft nach den Versorgungsbedürfnissen der Bevölkerung zu bewirtschaften. Die Diskussion ist durch verzögerte Gewerbeanschlüsse und unterschiedliche Angaben zum Erneuerungsbedarf ausgelöst worden. Die bisherige Geschäftsführung verweist auf Lieferengpässe und Fachkräftemangel; kommunale Vertreter sehen zusätzlich einen Konflikt zwischen Ausschüttung und Investition. Über die Ursachen besteht noch kein gemeinsamer Befund.</w:t>
      </w:r>
    </w:p>
    <w:p>
      <w:r>
        <w:t>Die vorgeschlagene Regelung soll nicht lediglich einen anderen Anteilseigner einsetzen. Die Investitionsplanung soll öffentlich nachvollziehbar werden, und Beschäftigte sowie Kommunen sollen die Prioritäten mitbestimmen. Die Arbeitsgruppe hält die Form einer Anstalt für geeignet, diesen Wechsel sichtbar und organisatorisch dauerhaft zu gestalten. Ein privatwirtschaftlicher Konzernverbund mit unveränderten Renditevorgaben entspricht nicht ihrem Ziel.</w:t>
      </w:r>
    </w:p>
    <w:p>
      <w:r>
        <w:t>Als verfassungsrechtlichen Ausgangspunkt nennt die Arbeitsgruppe Artikel 15 GG. Sie sieht in den Leitungen, Stationen und betriebsnotwendigen Grundstücken einen zusammengehörenden Produktions- und Versorgungsbestand. Die Schwelle von 100.000 Kunden soll kleine örtliche Unternehmen nicht in das Verfahren einbeziehen und eine Betriebsgröße erfassen, die eine eigenständige Leitstelle und längerfristige Investitionsplanung trägt. Die Geschäftsstelle verfügt bislang über keine vollständige landesweite Vergleichstabelle; diese wird für die weitere Beratung angefordert.</w:t>
      </w:r>
    </w:p>
    <w:p>
      <w:r>
        <w:t>In der hessischen politischen Tradition verweist die Arbeitsgruppe außerdem auf Artikel 41 der Landesverfassung. Martin Riemer hat im Fachgespräch erklärt, die ausdrückliche Nennung der Energiewirtschaft sei ein starkes Argument dafür, die heutige Neuordnung als Fortsetzung einer schon angelegten gemeinwirtschaftlichen Entscheidung zu verstehen. Die Unternehmensseite hält diesen Rückgriff für nicht aussagekräftig, weil Hessenbogen erst 1998 gegründet worden sei. Unterlagen zur Geschichte der zuvor kommunal betriebenen Teilnetze sind bisher nur auszugsweise vorhanden.</w:t>
      </w:r>
    </w:p>
    <w:p>
      <w:r>
        <w:t>Eine freihändige Übernahme zu dem von der Eigentümerseite genannten Preis ist bisher nicht verhandelt worden. Die Mehrheitsgesellschafterin verlangt zunächst die Aufgabe der gesetzlichen Übertragungsplanung. Die kommunalen Vertreter möchten gleichwohl ein Gespräch über eine einvernehmliche Lösung offenhalten. Die Arbeitsgruppe wird diese Möglichkeit in der nächsten Sitzung erneut aufrufen; ein entsprechendes Angebot liegt nicht vor.</w:t>
      </w:r>
    </w:p>
    <w:p>
      <w:r>
        <w:br w:type="page"/>
      </w:r>
    </w:p>
    <w:p>
      <w:pPr>
        <w:pStyle w:val="Heading1"/>
      </w:pPr>
      <w:r>
        <w:t>2. Wirtschaftliche und örtliche Folgen</w:t>
      </w:r>
    </w:p>
    <w:p>
      <w:r>
        <w:t>Der Ansatz von 210 Millionen Euro ist aus den ersten Gesprächen mit der Finanzierungsgruppe entstanden. Er soll eine Übernahme ermöglichen, ohne das Erneuerungsprogramm von 52 Millionen Euro bis Ende 2032 zu verdrängen. Die Arbeitsgruppe hat noch kein eigenes Unternehmenswertgutachten beauftragt. Sie erwartet, dass die Stellungnahmen die Bewertung des übertragenen Bestands und die Behandlung der Schulden konkretisieren. Die Zahl soll nicht als bereits mit der bisherigen Eigentümerin vereinbarter Kaufpreis veröffentlicht werden.</w:t>
      </w:r>
    </w:p>
    <w:p>
      <w:r>
        <w:t>Die Länder- und Kommunalvertreter beurteilen die Finanzierung unterschiedlich. Das Land wird um 60 Millionen Euro Eigenmittel und eine Garantie für Fremdmittel gebeten. Eine haushaltsrechtliche Zusage liegt der Arbeitsgruppe nicht vor. Die kommunale Seite bietet Werkstattkapazität und Personal an, lehnt aber eine offene Nachschusspflicht ab. Die angesprochene Bank hat ein Angebot unter mehreren Bedingungen angekündigt.</w:t>
      </w:r>
    </w:p>
    <w:p>
      <w:r>
        <w:t>Der geplante jährliche Betrag von acht Millionen Euro an den Landeshaushalt soll nach Auffassung eines Teils der Finanzierungsgruppe die Übernahme politisch absichern. Andere Mitglieder möchten jede Ausschüttung an die Erfüllung des Investitionsplans binden. Die bisherige Fassung enthält daher noch keine abgestimmte Rangfolge zwischen Rücklage und Haushaltsabführung. Der Betriebsvorschlag des kommunalen Netzservice wird hierfür nachgereicht.</w:t>
      </w:r>
    </w:p>
    <w:p>
      <w:r>
        <w:t>Die Eigentümerseite hebt hervor, dass die Gesellschaft eine Anlage in Thüringen und ein separat vermarktetes Glasfasernetz besitzt. Beim Anlagenweg sollen diese Tätigkeiten grundsätzlich außerhalb des Übergangs bleiben. Für die Anteilsvariante wurde noch keine Trennung dieser Vermögensbereiche ausgearbeitet. Die Arbeitsgruppe bittet die Beteiligten um Einschätzung, ob eine organisatorische Trennung vor dem 1. Januar 2028 tatsächlich leistbar wäre.</w:t>
      </w:r>
    </w:p>
    <w:p>
      <w:r>
        <w:t>Die Begründung soll nach Eingang der Stellungnahmen fortgeschrieben werden. Die Geschäftsstelle bittet insbesondere um konkrete Vertrags- und Betriebsangaben. Allgemeine Zustimmungserklärungen ersetzen die Beschreibung nicht, wie Leitstelle, Wartung, Finanzierung und örtliche Ansprechpartner am ersten Tag nach dem vorgesehenen Übergang funktionieren sollen. Die Arbeitsgruppe hat die Netzgesellschaft um Teilnahme am technischen Gespräch gebeten, ohne deren Zustimmung zu einer Übertragung vorauszusetzen.</w:t>
      </w:r>
    </w:p>
    <w:sectPr w:rsidR="00FC693F" w:rsidRPr="0006063C" w:rsidSect="00034616">
      <w:headerReference w:type="default" r:id="rId9"/>
      <w:footerReference w:type="default" r:id="rId10"/>
      <w:pgSz w:w="11906" w:h="16838"/>
      <w:pgMar w:top="1247" w:right="1304" w:bottom="1191"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AG-EN 26/15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Parlamentarische Arbeitsgruppe Energienetze | Martin Riemer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71" w:lineRule="auto"/>
    </w:pPr>
    <w:rPr>
      <w:rFonts w:ascii="Times New Roman" w:hAnsi="Times New Roman" w:eastAsia="Times New Roman" w:cs="Times New Roman"/>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71"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71"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71" w:lineRule="auto"/>
      <w:contextualSpacing/>
    </w:pPr>
    <w:rPr>
      <w:rFonts w:ascii="Times New Roman" w:hAnsi="Times New Roman" w:eastAsia="Times New Roman" w:cs="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Begründung der Arbeitsfassung vom 14 September 2026</dc:title>
  <dc:subject/>
  <dc:creator>Parlamentarische Arbeitsgruppe Energienetze</dc:creator>
  <cp:keywords/>
  <dc:description>generated by python-docx</dc:description>
  <cp:lastModifiedBy>Parlamentarische Arbeitsgruppe Energienetze</cp:lastModifiedBy>
  <cp:revision>1</cp:revision>
  <dcterms:created xsi:type="dcterms:W3CDTF">2026-09-15T00:00:00Z</dcterms:created>
  <dcterms:modified xsi:type="dcterms:W3CDTF">2026-09-15T00:00:00Z</dcterms:modified>
  <cp:category/>
</cp:coreProperties>
</file>