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Betriebskonzept für einen gemeinwirtschaftlichen Netzverbund</w:t>
      </w:r>
    </w:p>
    <w:p>
      <w:r>
        <w:t>An: Kommunaler Netzverbund Lahn-Werra GmbH</w:t>
      </w:r>
    </w:p>
    <w:p>
      <w:r>
        <w:t>22.09.2026 | NS-26-18 | Karin Voigt, technische Geschäftsführung</w:t>
      </w:r>
    </w:p>
    <w:p>
      <w:pPr>
        <w:pStyle w:val="Heading1"/>
      </w:pPr>
      <w:r>
        <w:t>1. Betriebsumfang und Personal</w:t>
      </w:r>
    </w:p>
    <w:p>
      <w:r>
        <w:t>Wir können im Auftrag eines künftigen Trägers Wartung, Entstörung und Baukoordination im vorhandenen hessischen Netzgebiet übernehmen. Unser Unternehmen ist eine hundertprozentige Tochter des kommunalen Netzverbunds. Es beschäftigt 48 Personen und betreibt Werkstatt und Bereitschaftsdienst, aber keine eigene zentrale Netzleitstelle. Der Auftrag würde daher eine klare Schnittstelle zur bisherigen Leitstelle und zu deren Dienstleister voraussetzen.</w:t>
      </w:r>
    </w:p>
    <w:p>
      <w:r>
        <w:t>Im ersten Betriebsjahr sollen zwei Bereitschaftsteams parallel fahren. Die vorhandenen 38 Fahrzeuge können nach technischer Prüfung eingesetzt werden; zwei davon werden bislang zugleich im Glasfaserbereich genutzt. Eine vollständige Trennung der Fahrzeugdisposition ist mit den bisherigen Verantwortlichen abzustimmen. Im Werkstattbereich fehlen derzeit sechs Monteurstellen. Wir rechnen nicht damit, diese allein durch einen Eigentümerwechsel sofort besetzen zu können.</w:t>
      </w:r>
    </w:p>
    <w:p>
      <w:r>
        <w:t>Für die Erneuerung der Umspannwerke und Ortsnetzstationen übernehmen wir zunächst den von Hessenbogen beschriebenen Programmumfang von 52 Millionen Euro bis Ende 2032 als Arbeitsannahme. Wir haben diese Summe noch nicht durch eigene Einzelkalkulation bestätigt. Vorrang haben die Stationen mit dokumentierten Ersatzteilproblemen. Eine öffentliche Rangfolge der Maßnahmen sollte jährlich erläutert werden; Sicherheitsdetails und einzelne Zugangsdaten gehören nicht in eine allgemein zugängliche Veröffentlichung.</w:t>
      </w:r>
    </w:p>
    <w:p>
      <w:r>
        <w:t>Der Betrieb muss am Übergangstag ohne Unterbrechung weitergeführt werden. Wir schlagen vor, mindestens sechs Monate zuvor einen gemeinsamen Bereitschaftsplan zu erproben. Die Verantwortung für Schalthandlungen bleibt bis zum vereinbarten Wechsel bei Hessenbogen. Eine bloße Übernahme von Benutzerkennungen lehnen wir ab. Der Dienstleister soll einen getrennten Mandantenbereich und eine technische Abnahme vorbereiten.</w:t>
      </w:r>
    </w:p>
    <w:p>
      <w:r>
        <w:t>Die Arbeitsgruppe nennt für den Verwaltungsrat neun Sitze. Wir halten eigene kommunale Vorschlagsrechte für erforderlich. Die Gemeinden müssen bei örtlichen Prioritäten mitwirken können, dürfen aber keine Einzelanweisungen zu sicherheitsrelevanten Schalthandlungen erteilen. Die Beschäftigtenvertretung soll an der langfristigen Personalplanung beteiligt werden. Die operative technische Verantwortung muss eindeutig bei der Betriebsführung bleiben.</w:t>
      </w:r>
    </w:p>
    <w:p>
      <w:r>
        <w:br w:type="page"/>
      </w:r>
    </w:p>
    <w:p>
      <w:pPr>
        <w:pStyle w:val="Heading1"/>
      </w:pPr>
      <w:r>
        <w:t>2. Investitionen und wirtschaftliche Bedingungen</w:t>
      </w:r>
    </w:p>
    <w:p>
      <w:r>
        <w:t>Eine feste jährliche Abführung von acht Millionen Euro an den Landeshaushalt ab dem dritten Jahr tragen wir in der jetzigen Form nicht mit. Solange Ersatzinvestitionen und eine angemessene Störungsreserve nicht gedeckt sind, würden solche Abführungen dieselben Prioritätskonflikte erzeugen, die mit der Neuordnung gerade beendet werden sollen. Wir schlagen eine Entscheidung über die Verwendung verbleibender Überschüsse erst nach dem jährlichen Investitionsbericht vor.</w:t>
      </w:r>
    </w:p>
    <w:p>
      <w:r>
        <w:t>Für die Vorbereitung kalkulieren wir insgesamt acht Millionen Euro Übergangskosten. Darin sind drei Millionen Euro für die technische und organisatorische Trennung, zwei Millionen Euro für Personalqualifikation und Bereitschaftserprobung sowie drei Millionen Euro für Vertragsumstellung, Inventur und externe Begleitung angesetzt. Die Beträge sind Planansätze und keine beauftragten Leistungen. Die IT-Nachricht vom Dienstleister muss mit diesem Ansatz abgeglichen werden, sobald sie vorliegt.</w:t>
      </w:r>
    </w:p>
    <w:p>
      <w:r>
        <w:t>Zusätzlich sollen zehn Millionen Euro Betriebsmittel und Störungsreserve bereitstehen. Diese Summe ist nicht Teil des Investitionsprogramms von 52 Millionen Euro. Unser Unternehmen kann eine solche Liquidität nicht aus dem laufenden Wartungsgeschäft bereitstellen. Der Netzverbund hat noch keinen Kapitalzuführungsbeschluss gefasst. Eine unbegrenzte Verlustabdeckung der drei Gemeinden ist in den Gesprächen ausdrücklich abgelehnt worden.</w:t>
      </w:r>
    </w:p>
    <w:p>
      <w:r>
        <w:t>Die in der Arbeitsfassung angesprochene Fortsetzung der Wegenutzungsverträge muss mit jeder Gemeinde und dem bisherigen Vertragspartner abgestimmt werden. Unser Konzept enthält keine Zusage, dass ein Wechsel ohne weiteres Vertragsverfahren möglich ist. Wir möchten zudem nicht den Stromvertrieb der Rheinstroom-Gruppe übernehmen. Netzbetrieb und Verkauf von Strom sollen organisatorisch getrennt bleiben; die künftige Aufgabenverteilung muss vor einer Beauftragung schriftlich feststehen.</w:t>
      </w:r>
    </w:p>
    <w:p>
      <w:r>
        <w:t>Ein Start zum 1. Januar 2028 ist technisch nur dann erreichbar, wenn die grundlegende Variante spätestens im ersten Quartal 2027 feststeht und Leitwerk bis dahin eingebunden ist. Andernfalls verschieben sich Ausschreibungen, Personalplanung und Probebetrieb. Wir bitten den Netzverbund, unsere Beteiligung an weiteren Gesprächen nicht als vorbehaltlose Übernahmezusage zu behandeln.</w:t>
        <w:br/>
        <w:t>Karin Voigt</w:t>
        <w:br/>
        <w:t>karin.voigt@lahn-werra-netzservice.example</w:t>
      </w:r>
    </w:p>
    <w:sectPr w:rsidR="00FC693F" w:rsidRPr="0006063C" w:rsidSect="00034616">
      <w:headerReference w:type="default" r:id="rId9"/>
      <w:footerReference w:type="default" r:id="rId10"/>
      <w:pgSz w:w="11906" w:h="16838"/>
      <w:pgMar w:top="1247" w:right="1304" w:bottom="1191"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NS-26-18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Lahn-Werra Netzservice GmbH | Werkstraße 4, 35041 Marburg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1"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71" w:lineRule="auto"/>
    </w:pPr>
    <w:rPr>
      <w:rFonts w:ascii="Times New Roman" w:hAnsi="Times New Roman" w:eastAsia="Times New Roman" w:cs="Times New Roman"/>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71"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71"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71" w:lineRule="auto"/>
      <w:contextualSpacing/>
    </w:pPr>
    <w:rPr>
      <w:rFonts w:ascii="Times New Roman" w:hAnsi="Times New Roman" w:eastAsia="Times New Roman" w:cs="Times New Roman"/>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Betriebskonzept für einen gemeinwirtschaftlichen Netzverbund</dc:title>
  <dc:subject/>
  <dc:creator>Lahn-Werra Netzservice GmbH</dc:creator>
  <cp:keywords/>
  <dc:description>generated by python-docx</dc:description>
  <cp:lastModifiedBy>Lahn-Werra Netzservice GmbH</cp:lastModifiedBy>
  <cp:revision>1</cp:revision>
  <dcterms:created xsi:type="dcterms:W3CDTF">2026-09-22T00:00:00Z</dcterms:created>
  <dcterms:modified xsi:type="dcterms:W3CDTF">2026-09-22T00:00:00Z</dcterms:modified>
  <cp:category/>
</cp:coreProperties>
</file>