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Satzung der Klingenhain Musikschule gemeinnützige GmbH</w:t>
      </w:r>
    </w:p>
    <w:p>
      <w:pPr>
        <w:jc w:val="left"/>
      </w:pPr>
      <w:r>
        <w:t>Vollständige Fassung aufgrund des Gesellschafterbeschlusses vom 11.11.2021, notariell beurkundet durch Notarin Dr. Elke Warnholz, Kassel, Urkundenrolle Nr. 903/2021. Eingetragen im Handelsregister des Amtsgerichts Kassel unter HRB 7 214.</w:t>
      </w:r>
    </w:p>
    <w:p>
      <w:pPr>
        <w:jc w:val="left"/>
      </w:pPr>
      <w:r>
        <w:t>Diese Fassung gibt die Satzung vollständig und ohne Auslassungen wieder.</w:t>
      </w:r>
    </w:p>
    <w:p>
      <w:pPr>
        <w:pStyle w:val="Heading2"/>
      </w:pPr>
      <w:r>
        <w:rPr>
          <w:rFonts w:ascii="Times New Roman" w:hAnsi="Times New Roman"/>
        </w:rPr>
        <w:t>1 Firma, Sitz und Geschäftsjahr</w:t>
      </w:r>
    </w:p>
    <w:p>
      <w:pPr>
        <w:jc w:val="left"/>
      </w:pPr>
      <w:r>
        <w:t>1.1 Die Firma der Gesellschaft lautet Klingenhain Musikschule gemeinnützige GmbH.</w:t>
      </w:r>
    </w:p>
    <w:p>
      <w:pPr>
        <w:jc w:val="left"/>
      </w:pPr>
      <w:r>
        <w:t>1.2 Sitz der Gesellschaft ist Klingenhain (Hessen).</w:t>
      </w:r>
    </w:p>
    <w:p>
      <w:pPr>
        <w:jc w:val="left"/>
      </w:pPr>
      <w:r>
        <w:t>1.3 Das Geschäftsjahr ist das Kalenderjahr.</w:t>
      </w:r>
    </w:p>
    <w:p>
      <w:pPr>
        <w:pStyle w:val="Heading2"/>
      </w:pPr>
      <w:r>
        <w:rPr>
          <w:rFonts w:ascii="Times New Roman" w:hAnsi="Times New Roman"/>
        </w:rPr>
        <w:t>2 Zweck der Gesellschaft und Gemeinnützigkeit</w:t>
      </w:r>
    </w:p>
    <w:p>
      <w:pPr>
        <w:jc w:val="left"/>
      </w:pPr>
      <w:r>
        <w:t>2.1 Zweck der Gesellschaft ist die Förderung von Kunst, Kultur und Bildung, insbesondere durch den Betrieb einer Musikschule und die musikalische Aus- und Weiterbildung von Kindern, Jugendlichen und Erwachsenen.</w:t>
      </w:r>
    </w:p>
    <w:p>
      <w:pPr>
        <w:jc w:val="left"/>
      </w:pPr>
      <w:r>
        <w:t>2.2 Die Gesellschaft verfolgt ausschließlich und unmittelbar gemeinnützige Zwecke im Sinne des Abschnitts „Steuerbegünstigte Zwecke" der Abgabenordnung. Die Gesellschaft ist selbstlos tätig; sie verfolgt nicht in erster Linie eigenwirtschaftliche Zwecke.</w:t>
      </w:r>
    </w:p>
    <w:p>
      <w:pPr>
        <w:jc w:val="left"/>
      </w:pPr>
      <w:r>
        <w:t>2.3 Mittel der Gesellschaft dürfen nur für die satzungsmäßigen Zwecke verwendet werden. Die Gesellschafter erhalten keine Gewinnanteile und in ihrer Eigenschaft als Gesellschafter auch keine sonstigen Zuwendungen aus Mitteln der Gesellschaft. Es darf keine Person durch Ausgaben, die dem Zweck der Gesellschaft fremd sind, oder durch unverhältnismäßig hohe Vergütungen begünstigt werden.</w:t>
      </w:r>
    </w:p>
    <w:p>
      <w:pPr>
        <w:jc w:val="left"/>
      </w:pPr>
      <w:r>
        <w:t>2.4 Bei Auflösung der Gesellschaft oder bei Wegfall steuerbegünstigter Zwecke fällt das Vermögen der Gesellschaft, soweit es die eingezahlten Kapitalanteile der Gesellschafter übersteigt, an eine juristische Person des öffentlichen Rechts oder eine andere steuerbegünstigte Körperschaft zur Verwendung für die Förderung von Kunst und Kultur.</w:t>
      </w:r>
    </w:p>
    <w:p>
      <w:pPr>
        <w:pStyle w:val="Heading2"/>
      </w:pPr>
      <w:r>
        <w:rPr>
          <w:rFonts w:ascii="Times New Roman" w:hAnsi="Times New Roman"/>
        </w:rPr>
        <w:t>3 Stammkapital und Geschäftsanteile</w:t>
      </w:r>
    </w:p>
    <w:p>
      <w:pPr>
        <w:jc w:val="left"/>
      </w:pPr>
      <w:r>
        <w:t>3.1 Das Stammkapital der Gesellschaft beträgt 50.000,00 EUR.</w:t>
      </w:r>
    </w:p>
    <w:p>
      <w:pPr>
        <w:jc w:val="left"/>
      </w:pPr>
      <w:r>
        <w:t>3.2 Vom Stammkapital übernehmen:</w:t>
      </w:r>
    </w:p>
    <w:p>
      <w:pPr>
        <w:jc w:val="left"/>
      </w:pPr>
      <w:r>
        <w:t>3.2.1 Herr Dr. Balduin Klingenhain einen Geschäftsanteil im Nennbetrag von 25.000,00 EUR (fünfzig Prozent),</w:t>
      </w:r>
    </w:p>
    <w:p>
      <w:pPr>
        <w:jc w:val="left"/>
      </w:pPr>
      <w:r>
        <w:t>3.2.2 die Kulturhof Stiftung, rechtsfähige Stiftung des bürgerlichen Rechts mit Sitz in Kassel, einen Geschäftsanteil im Nennbetrag von 25.000,00 EUR (fünfzig Prozent).</w:t>
      </w:r>
    </w:p>
    <w:p>
      <w:pPr>
        <w:jc w:val="left"/>
      </w:pPr>
      <w:r>
        <w:t>3.3 Die Stammeinlagen sind vollständig in Geld erbracht. Je 1,00 EUR eines Geschäftsanteils gewährt eine Stimme.</w:t>
      </w:r>
    </w:p>
    <w:p>
      <w:pPr>
        <w:pStyle w:val="Heading2"/>
      </w:pPr>
      <w:r>
        <w:rPr>
          <w:rFonts w:ascii="Times New Roman" w:hAnsi="Times New Roman"/>
        </w:rPr>
        <w:t>4 Geschäftsführung und Vertretung</w:t>
      </w:r>
    </w:p>
    <w:p>
      <w:pPr>
        <w:jc w:val="left"/>
      </w:pPr>
      <w:r>
        <w:t>4.1 Die Gesellschaft hat einen oder mehrere Geschäftsführer, die von der Gesellschafterversammlung bestellt und abberufen werden. Ist nur ein Geschäftsführer bestellt, vertritt er allein; sind mehrere bestellt, vertreten zwei gemeinschaftlich.</w:t>
      </w:r>
    </w:p>
    <w:p>
      <w:pPr>
        <w:jc w:val="left"/>
      </w:pPr>
      <w:r>
        <w:t>4.2 Die Geschäftsführer unterliegen den Weisungen der Gesellschafterversammlung. Die Gesellschafterversammlung kann eine Geschäftsordnung erlassen.</w:t>
      </w:r>
    </w:p>
    <w:p>
      <w:pPr>
        <w:jc w:val="left"/>
      </w:pPr>
      <w:r>
        <w:t>4.3 Folgende Maßnahmen bedürfen der vorherigen Zustimmung der Gesellschafterversammlung:</w:t>
      </w:r>
    </w:p>
    <w:p>
      <w:pPr>
        <w:jc w:val="left"/>
      </w:pPr>
      <w:r>
        <w:t>4.3.1 Investitionen und Anschaffungen über 50.000,00 EUR im Einzelfall,</w:t>
      </w:r>
    </w:p>
    <w:p>
      <w:pPr>
        <w:jc w:val="left"/>
      </w:pPr>
      <w:r>
        <w:t>4.3.2 der Abbau von Personal ab fünf Vollzeitstellen,</w:t>
      </w:r>
    </w:p>
    <w:p>
      <w:pPr>
        <w:jc w:val="left"/>
      </w:pPr>
      <w:r>
        <w:t>4.3.3 die Aufnahme langfristiger Mietverträge mit einer Laufzeit oder Bindung von mehr als fünf Jahren.</w:t>
      </w:r>
    </w:p>
    <w:p>
      <w:pPr>
        <w:jc w:val="left"/>
      </w:pPr>
      <w:r>
        <w:t>4.4 Ein Recht einzelner Gesellschafter oder Geschäftsführer, Weisungen der Gesellschafterversammlung oder laufende Maßnahmen der Geschäftsführung zu verhindern, sieht diese Satzung nicht vor.</w:t>
      </w:r>
    </w:p>
    <w:p>
      <w:pPr>
        <w:pStyle w:val="Heading2"/>
      </w:pPr>
      <w:r>
        <w:rPr>
          <w:rFonts w:ascii="Times New Roman" w:hAnsi="Times New Roman"/>
        </w:rPr>
        <w:t>5 Gesellschafterversammlung und Beschlüsse</w:t>
      </w:r>
    </w:p>
    <w:p>
      <w:pPr>
        <w:jc w:val="left"/>
      </w:pPr>
      <w:r>
        <w:t>5.1 Die ordentliche Gesellschafterversammlung findet einmal jährlich statt. Außerordentliche Versammlungen sind einzuberufen, wenn das Interesse der Gesellschaft es erfordert oder ein Gesellschafter dies verlangt. Die Einberufung erfolgt in Textform mit einer Frist von zwei Wochen unter Angabe der Tagesordnung.</w:t>
      </w:r>
    </w:p>
    <w:p>
      <w:pPr>
        <w:jc w:val="left"/>
      </w:pPr>
      <w:r>
        <w:t>5.2 Gesellschafterbeschlüsse werden mit der einfachen Mehrheit der abgegebenen Stimmen gefasst, soweit Gesetz oder Satzung nichts anderes bestimmen. Bei Stimmengleichheit gilt ein Antrag als abgelehnt; ein Stichentscheid besteht nicht.</w:t>
      </w:r>
    </w:p>
    <w:p>
      <w:pPr>
        <w:jc w:val="left"/>
      </w:pPr>
      <w:r>
        <w:t>5.3 Einer Mehrheit von mindestens fünfundsiebzig Prozent der abgegebenen Stimmen bedürfen Änderungen dieser Satzung, Kapitalmaßnahmen, der Abschluss von Unternehmensverträgen und die Auflösung der Gesellschaft. Da beide Gesellschafter je fünfzig Prozent halten, können solche Beschlüsse nur einvernehmlich gefasst werden.</w:t>
      </w:r>
    </w:p>
    <w:p>
      <w:pPr>
        <w:jc w:val="left"/>
      </w:pPr>
      <w:r>
        <w:t>5.4 Die Abberufung eines Geschäftsführers aus wichtigem Grund und der Entzug der Vertretungsbefugnis aus wichtigem Grund werden mit einfacher Mehrheit der abgegebenen Stimmen beschlossen. Der betroffene Gesellschafter-Geschäftsführer hat bei diesem Beschluss kein Stimmrecht.</w:t>
      </w:r>
    </w:p>
    <w:p>
      <w:pPr>
        <w:jc w:val="left"/>
      </w:pPr>
      <w:r>
        <w:t>5.5 Über jede Versammlung ist eine Niederschrift zu fertigen und den Gesellschaftern in Textform zu übersenden.</w:t>
      </w:r>
    </w:p>
    <w:p>
      <w:pPr>
        <w:pStyle w:val="Heading2"/>
      </w:pPr>
      <w:r>
        <w:rPr>
          <w:rFonts w:ascii="Times New Roman" w:hAnsi="Times New Roman"/>
        </w:rPr>
        <w:t>6 Verfügung über Geschäftsanteile</w:t>
      </w:r>
    </w:p>
    <w:p>
      <w:pPr>
        <w:jc w:val="left"/>
      </w:pPr>
      <w:r>
        <w:t>6.1 Die Abtretung und die Verpfändung von Geschäftsanteilen bedürfen der Zustimmung aller Gesellschafter.</w:t>
      </w:r>
    </w:p>
    <w:p>
      <w:pPr>
        <w:jc w:val="left"/>
      </w:pPr>
      <w:r>
        <w:t>6.2 Beabsichtigt ein Gesellschafter, seinen Geschäftsanteil zu veräußern, so steht dem anderen Gesellschafter ein Vorkaufsrecht zu, das innerhalb von zwei Monaten nach Anzeige des beabsichtigten Verkaufs auszuüben ist.</w:t>
      </w:r>
    </w:p>
    <w:p>
      <w:pPr>
        <w:pStyle w:val="Heading2"/>
      </w:pPr>
      <w:r>
        <w:rPr>
          <w:rFonts w:ascii="Times New Roman" w:hAnsi="Times New Roman"/>
        </w:rPr>
        <w:t>7 Jahresabschluss und Mittelverwendung</w:t>
      </w:r>
    </w:p>
    <w:p>
      <w:pPr>
        <w:jc w:val="left"/>
      </w:pPr>
      <w:r>
        <w:t>7.1 Die Geschäftsführung stellt den Jahresabschluss innerhalb der gesetzlichen Fristen auf und legt ihn der Gesellschafterversammlung zur Feststellung vor.</w:t>
      </w:r>
    </w:p>
    <w:p>
      <w:pPr>
        <w:jc w:val="left"/>
      </w:pPr>
      <w:r>
        <w:t>7.2 Überschüsse werden ausschließlich für die satzungsmäßigen gemeinnützigen Zwecke verwendet. Eine Ausschüttung an die Gesellschafter findet nicht statt.</w:t>
      </w:r>
    </w:p>
    <w:p>
      <w:pPr>
        <w:pStyle w:val="Heading2"/>
      </w:pPr>
      <w:r>
        <w:rPr>
          <w:rFonts w:ascii="Times New Roman" w:hAnsi="Times New Roman"/>
        </w:rPr>
        <w:t>8 Schlussbestimmungen</w:t>
      </w:r>
    </w:p>
    <w:p>
      <w:pPr>
        <w:jc w:val="left"/>
      </w:pPr>
      <w:r>
        <w:t>8.1 Bekanntmachungen erfolgen im Bundesanzeiger.</w:t>
      </w:r>
    </w:p>
    <w:p>
      <w:pPr>
        <w:jc w:val="left"/>
      </w:pPr>
      <w:r>
        <w:t>8.2 Änderungen dieser Satzung bedürfen der notariellen Beurkundung und der Zustimmung des zuständigen Finanzamts, soweit steuerbegünstigte Zwecke berührt sind.</w:t>
      </w:r>
    </w:p>
    <w:p>
      <w:pPr>
        <w:jc w:val="left"/>
      </w:pPr>
      <w:r>
        <w:t>8.3 Sollte eine Bestimmung dieser Satzung unwirksam sein oder werden, so bleibt die Wirksamkeit der übrigen Bestimmungen unberührt.</w:t>
      </w:r>
    </w:p>
    <w:p/>
    <w:p>
      <w:pPr>
        <w:jc w:val="left"/>
      </w:pPr>
      <w:r>
        <w:t>Nebenabrede außerhalb der Satzung: Neben dieser notariell beurkundeten Satzung existiert ein privatschriftlicher, nicht notariell beurkundeter „Gründerbrief" vom 03.05.2021, in dem sich die Gesellschafter darauf verständigen, dass Herr Dr. Klingenhain einer Änderung des Unterrichtsprofils, einem Personalabbau und der Aufnahme neuer Gesellschafter widersprechen kann. Diese Abrede ist nicht Bestandteil der Satzung und im Handelsregister nicht eingetragen.</w:t>
      </w:r>
    </w:p>
    <w:p>
      <w:pPr>
        <w:jc w:val="left"/>
      </w:pPr>
      <w:r>
        <w:t>Formathinweis: Dieses Aktenstück wird in Times New Roman, 11 pt, mit ausschließlich dezimaler Gliederung ausgegeben.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