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 Urteil LG Traunstein, Az. 1 O 2188/25</w:t>
      </w:r>
    </w:p>
    <w:p>
      <w:pPr>
        <w:pStyle w:val="Heading2"/>
      </w:pPr>
      <w:r>
        <w:rPr>
          <w:rFonts w:ascii="Times New Roman" w:hAnsi="Times New Roman"/>
        </w:rPr>
        <w:t>Im Namen des Volkes</w:t>
      </w:r>
    </w:p>
    <w:p>
      <w:pPr>
        <w:jc w:val="left"/>
      </w:pPr>
      <w:r>
        <w:rPr>
          <w:b/>
        </w:rPr>
        <w:t>Urteil</w:t>
      </w:r>
    </w:p>
    <w:p>
      <w:pPr>
        <w:jc w:val="left"/>
      </w:pPr>
      <w:r>
        <w:t>In dem Rechtsstreit</w:t>
      </w:r>
    </w:p>
    <w:p>
      <w:pPr>
        <w:jc w:val="left"/>
      </w:pPr>
      <w:r>
        <w:t>Margarete Pohlmann ./. Saalbau Rosenheim GmbH</w:t>
      </w:r>
    </w:p>
    <w:p>
      <w:pPr>
        <w:jc w:val="left"/>
      </w:pPr>
      <w:r>
        <w:t xml:space="preserve">Az.: </w:t>
      </w:r>
      <w:r>
        <w:rPr>
          <w:b/>
        </w:rPr>
        <w:t>1 O 2188/25</w:t>
      </w:r>
    </w:p>
    <w:p>
      <w:pPr>
        <w:jc w:val="left"/>
      </w:pPr>
      <w:r>
        <w:t xml:space="preserve">Verkündet am: </w:t>
      </w:r>
      <w:r>
        <w:rPr>
          <w:b/>
        </w:rPr>
        <w:t>22.07.2027</w:t>
      </w:r>
    </w:p>
    <w:p>
      <w:pPr>
        <w:jc w:val="left"/>
      </w:pPr>
      <w:r>
        <w:t>hat das Landgericht Traunstein, 1. Zivilkammer, durch</w:t>
      </w:r>
    </w:p>
    <w:p>
      <w:pPr>
        <w:jc w:val="left"/>
      </w:pPr>
      <w:r>
        <w:t>VRiLG Dr. Anke Willms-Faber, RiLG Klaus-Dieter Brombeer, RiLG Melanie Fischner-Hoff</w:t>
      </w:r>
    </w:p>
    <w:p>
      <w:pPr>
        <w:jc w:val="left"/>
      </w:pPr>
      <w:r>
        <w:t>auf Grund der mündlichen Verhandlung vom 18.05.2027</w:t>
      </w:r>
    </w:p>
    <w:p>
      <w:pPr>
        <w:jc w:val="left"/>
      </w:pPr>
      <w:r>
        <w:rPr>
          <w:b/>
        </w:rPr>
        <w:t>für Recht erkannt:</w:t>
      </w:r>
    </w:p>
    <w:p/>
    <w:p>
      <w:pPr>
        <w:pStyle w:val="Heading2"/>
        <w:keepNext/>
        <w:spacing w:after="0"/>
      </w:pPr>
      <w:r>
        <w:rPr>
          <w:rFonts w:ascii="Times New Roman" w:hAnsi="Times New Roman"/>
        </w:rPr>
        <w:t>1 Tenor</w:t>
      </w:r>
    </w:p>
    <w:p>
      <w:pPr>
        <w:keepNext/>
        <w:spacing w:before="0" w:after="0" w:line="220" w:lineRule="exact"/>
      </w:pPr>
    </w:p>
    <w:p>
      <w:pPr>
        <w:jc w:val="left"/>
      </w:pPr>
      <w:r>
        <w:rPr>
          <w:b/>
        </w:rPr>
        <w:t>1.1</w:t>
      </w:r>
      <w:r>
        <w:t xml:space="preserve"> Die Beklagte wird verurteilt, an die Klägerin </w:t>
      </w:r>
      <w:r>
        <w:rPr>
          <w:b/>
        </w:rPr>
        <w:t>512.300 EUR</w:t>
      </w:r>
      <w:r>
        <w:t xml:space="preserve"> nebst Zinsen in Höhe von 5 Prozentpunkten über dem jeweiligen Basiszinssatz aus 312.300 EUR seit dem 25.06.2024 sowie aus weiteren 200.000 EUR seit dem 01.02.2025 zu zahlen.</w:t>
      </w:r>
    </w:p>
    <w:p>
      <w:pPr>
        <w:jc w:val="left"/>
      </w:pPr>
      <w:r>
        <w:rPr>
          <w:b/>
        </w:rPr>
        <w:t>1.2</w:t>
      </w:r>
      <w:r>
        <w:t xml:space="preserve"> Im Übrigen wird die Klage abgewiesen.</w:t>
      </w:r>
    </w:p>
    <w:p>
      <w:pPr>
        <w:jc w:val="left"/>
      </w:pPr>
      <w:r>
        <w:rPr>
          <w:b/>
        </w:rPr>
        <w:t>1.3</w:t>
      </w:r>
      <w:r>
        <w:t xml:space="preserve"> Von den Kosten des Rechtsstreits trägt die Klägerin 25 %, die Beklagte 75 %.</w:t>
      </w:r>
    </w:p>
    <w:p>
      <w:pPr>
        <w:jc w:val="left"/>
      </w:pPr>
      <w:r>
        <w:rPr>
          <w:b/>
        </w:rPr>
        <w:t>1.4</w:t>
      </w:r>
      <w:r>
        <w:t xml:space="preserve"> Das Urteil ist gegen Sicherheitsleistung in Höhe von 110 % des jeweils zu vollstreckenden Betrages vorläufig vollstreckbar.</w:t>
      </w:r>
    </w:p>
    <w:p>
      <w:pPr>
        <w:jc w:val="left"/>
      </w:pPr>
      <w:r>
        <w:rPr>
          <w:b/>
        </w:rPr>
        <w:t>1.5</w:t>
      </w:r>
      <w:r>
        <w:t xml:space="preserve"> Der Streitwert wird auf 684.400 EUR festgesetzt.</w:t>
      </w:r>
    </w:p>
    <w:p/>
    <w:p>
      <w:pPr>
        <w:pStyle w:val="Heading2"/>
        <w:keepNext/>
        <w:spacing w:after="0"/>
      </w:pPr>
      <w:r>
        <w:rPr>
          <w:rFonts w:ascii="Times New Roman" w:hAnsi="Times New Roman"/>
        </w:rPr>
        <w:t>2 Tatbestand (Kurzfassung)</w:t>
      </w:r>
    </w:p>
    <w:p>
      <w:pPr>
        <w:keepNext/>
        <w:spacing w:before="0" w:after="0" w:line="220" w:lineRule="exact"/>
      </w:pPr>
    </w:p>
    <w:p>
      <w:pPr>
        <w:jc w:val="left"/>
      </w:pPr>
      <w:r>
        <w:t>Wegen des Sach- und Streitstandes wird auf die gewechselten Schriftsätze, die Protokolle der mündlichen Verhandlungen und das Sachverständigengutachten vom 12.01.2027 Bezug genommen.</w:t>
      </w:r>
    </w:p>
    <w:p/>
    <w:p>
      <w:pPr>
        <w:pStyle w:val="Heading2"/>
        <w:keepNext/>
        <w:spacing w:after="0"/>
      </w:pPr>
      <w:r>
        <w:rPr>
          <w:rFonts w:ascii="Times New Roman" w:hAnsi="Times New Roman"/>
        </w:rPr>
        <w:t>3 Entscheidungsgründe</w:t>
      </w:r>
    </w:p>
    <w:p>
      <w:pPr>
        <w:keepNext/>
        <w:spacing w:before="0" w:after="0" w:line="220" w:lineRule="exact"/>
      </w:pPr>
    </w:p>
    <w:p>
      <w:pPr>
        <w:pStyle w:val="Heading3"/>
        <w:keepNext/>
        <w:spacing w:after="0"/>
      </w:pPr>
      <w:r>
        <w:rPr>
          <w:rFonts w:ascii="Times New Roman" w:hAnsi="Times New Roman"/>
        </w:rPr>
        <w:t>3.1 Zur Zulässigkeit</w:t>
      </w:r>
    </w:p>
    <w:p>
      <w:pPr>
        <w:keepNext/>
        <w:spacing w:before="0" w:after="0" w:line="220" w:lineRule="exact"/>
      </w:pPr>
    </w:p>
    <w:p>
      <w:pPr>
        <w:jc w:val="left"/>
      </w:pPr>
      <w:r>
        <w:t>Die Klage ist zulässig. Das Landgericht Traunstein ist sachlich (§ 71 Abs. 1 GVG; Streitwert über 5.000 EUR) und örtlich (§ 29a ZPO; Belegenheit des Grundstücks Rosenheim) zuständig.</w:t>
      </w:r>
    </w:p>
    <w:p>
      <w:pPr>
        <w:pStyle w:val="Heading3"/>
        <w:keepNext/>
        <w:spacing w:after="0"/>
      </w:pPr>
      <w:r>
        <w:rPr>
          <w:rFonts w:ascii="Times New Roman" w:hAnsi="Times New Roman"/>
        </w:rPr>
        <w:t>3.2 Zur Begründetheit</w:t>
      </w:r>
    </w:p>
    <w:p>
      <w:pPr>
        <w:keepNext/>
        <w:spacing w:before="0" w:after="0" w:line="220" w:lineRule="exact"/>
      </w:pPr>
    </w:p>
    <w:p>
      <w:pPr>
        <w:keepNext/>
        <w:spacing w:after="0"/>
        <w:jc w:val="left"/>
      </w:pPr>
      <w:r>
        <w:rPr>
          <w:b/>
        </w:rPr>
        <w:t>3.2.1 Schadensersatz Baumängel (§ 634 Nr. 4 i.V.m. § 280 Abs. 1, § 281 BGB)</w:t>
      </w:r>
    </w:p>
    <w:p>
      <w:pPr>
        <w:keepNext/>
        <w:spacing w:before="0" w:after="0" w:line="220" w:lineRule="exact"/>
      </w:pPr>
    </w:p>
    <w:p>
      <w:pPr>
        <w:jc w:val="left"/>
      </w:pPr>
      <w:r>
        <w:t>Das Gericht legt das Sachverständigengutachten des Herrn Zeyer zugrunde. Es ist überzeugend, widerspruchsfrei und nachvollziehbar. Alle vier geltend gemachten Abnahmemängel sind nachgewiesen:</w:t>
      </w:r>
    </w:p>
    <w:p>
      <w:pPr>
        <w:pStyle w:val="ListBullet"/>
      </w:pPr>
      <w:r>
        <w:t>Kellerrisse: Mangelbeseitigung 31.400 EUR (zugesprochen)</w:t>
      </w:r>
    </w:p>
    <w:p>
      <w:pPr>
        <w:pStyle w:val="ListBullet"/>
      </w:pPr>
      <w:r>
        <w:t>Schallschutz: Mangelbeseitigung 22.600 EUR (zugesprochen)</w:t>
      </w:r>
    </w:p>
    <w:p>
      <w:pPr>
        <w:pStyle w:val="ListBullet"/>
      </w:pPr>
      <w:r>
        <w:t>Dachentwässerung: Mangelbeseitigung 28.300 EUR (zugesprochen)</w:t>
      </w:r>
    </w:p>
    <w:p>
      <w:pPr>
        <w:pStyle w:val="ListBullet"/>
      </w:pPr>
      <w:r>
        <w:t>Wärmedämmung: Mangelbeseitigung 19.800 EUR (zugesprochen)</w:t>
      </w:r>
    </w:p>
    <w:p>
      <w:pPr>
        <w:jc w:val="left"/>
      </w:pPr>
      <w:r>
        <w:rPr>
          <w:b/>
        </w:rPr>
        <w:t>Summe Mangelbeseitigungskosten: 102.100 EUR</w:t>
      </w:r>
      <w:r>
        <w:t xml:space="preserve"> (vollständig zugesprochen).</w:t>
      </w:r>
    </w:p>
    <w:p>
      <w:pPr>
        <w:keepNext/>
        <w:spacing w:after="0"/>
        <w:jc w:val="left"/>
      </w:pPr>
      <w:r>
        <w:rPr>
          <w:b/>
        </w:rPr>
        <w:t>3.2.2 Folgemängelschäden (§ 634 Nr. 4 i.V.m. § 280 Abs. 1 BGB)</w:t>
      </w:r>
    </w:p>
    <w:p>
      <w:pPr>
        <w:keepNext/>
        <w:spacing w:before="0" w:after="0" w:line="220" w:lineRule="exact"/>
      </w:pPr>
    </w:p>
    <w:p>
      <w:pPr>
        <w:jc w:val="left"/>
      </w:pPr>
      <w:r>
        <w:t>Der Kausalzusammenhang zwischen Dachentwässerungsmangel und Folgemängeln ist durch das Gutachten Zeyer mit an Sicherheit grenzender Wahrscheinlichkeit nachgewiesen. Das Gericht spricht 200.000 EUR zu (statt der geforderten 237.000 EUR); die Position „Hotelkosten Auslagerung" (49.600 EUR) ist teilweise nicht belegt (nur 5 Wochen = 31.150 EUR anerkannt) und Gutachterkosten Schadensfeststellung (8.400 EUR) sind als Rechtsverfolgungskosten nicht gesondert erstattungsfähig.</w:t>
      </w:r>
    </w:p>
    <w:p>
      <w:pPr>
        <w:keepNext/>
        <w:spacing w:after="0"/>
        <w:jc w:val="left"/>
      </w:pPr>
      <w:r>
        <w:rPr>
          <w:b/>
        </w:rPr>
        <w:t>3.2.3 Bodenaustausch / AGB-Klausel</w:t>
      </w:r>
    </w:p>
    <w:p>
      <w:pPr>
        <w:keepNext/>
        <w:spacing w:before="0" w:after="0" w:line="220" w:lineRule="exact"/>
      </w:pPr>
    </w:p>
    <w:p>
      <w:pPr>
        <w:jc w:val="left"/>
      </w:pPr>
      <w:r>
        <w:t xml:space="preserve">Die Kammer hält § 9 des Bauvertrages nach § 307 Abs. 1 BGB für unwirksam. Die Klausel weicht vom gesetzlichen Leitbild ab, das dem Auftragnehmer die Pflicht auferlegt, erkennbare Hindernisse bei der Werkleistung anzuzeigen. Da das Ing. Büro Weidinger als Erfüllungsgehilfe der Beklagten tätig war (§ 278 BGB), muss sich die Beklagte die Kenntnis Weidingers vom 22.04.2022 zurechnen lassen. Der Anspruch auf Erstattung der Mehrkosten Bodenaustausch (112.000 EUR) ist dem Grunde nach gegeben. Die Kammer kürzt jedoch auf </w:t>
      </w:r>
      <w:r>
        <w:rPr>
          <w:b/>
        </w:rPr>
        <w:t>95.000 EUR</w:t>
      </w:r>
      <w:r>
        <w:t>, da 17.000 EUR nicht durch Rechnungen belegt sind.</w:t>
      </w:r>
    </w:p>
    <w:p>
      <w:pPr>
        <w:keepNext/>
        <w:spacing w:after="0"/>
        <w:jc w:val="left"/>
      </w:pPr>
      <w:r>
        <w:rPr>
          <w:b/>
        </w:rPr>
        <w:t>3.2.4 Verzögerungsschaden</w:t>
      </w:r>
    </w:p>
    <w:p>
      <w:pPr>
        <w:keepNext/>
        <w:spacing w:before="0" w:after="0" w:line="220" w:lineRule="exact"/>
      </w:pPr>
    </w:p>
    <w:p>
      <w:pPr>
        <w:jc w:val="left"/>
      </w:pPr>
      <w:r>
        <w:t xml:space="preserve">Mietkosten Übergangswohnung (38.400 EUR) werden auf </w:t>
      </w:r>
      <w:r>
        <w:rPr>
          <w:b/>
        </w:rPr>
        <w:t>25.000 EUR</w:t>
      </w:r>
      <w:r>
        <w:t xml:space="preserve"> gekürzt; die Kosten für Monate nach dem 31.03.2024 sind nicht kausal auf die Verzögerung zurückzuführen, da die Klägerin bereits eingezogen war.</w:t>
      </w:r>
    </w:p>
    <w:p>
      <w:pPr>
        <w:keepNext/>
        <w:spacing w:after="0"/>
        <w:jc w:val="left"/>
      </w:pPr>
      <w:r>
        <w:rPr>
          <w:b/>
        </w:rPr>
        <w:t>3.2.5 Minderung (§ 638 BGB)</w:t>
      </w:r>
    </w:p>
    <w:p>
      <w:pPr>
        <w:keepNext/>
        <w:spacing w:before="0" w:after="0" w:line="220" w:lineRule="exact"/>
      </w:pPr>
    </w:p>
    <w:p>
      <w:pPr>
        <w:jc w:val="left"/>
      </w:pPr>
      <w:r>
        <w:t>Da Mangelbeseitigung zugesprochen wird, bleibt der hilfsweise Minderungsantrag ohne Erfolg.</w:t>
      </w:r>
    </w:p>
    <w:p>
      <w:pPr>
        <w:keepNext/>
        <w:spacing w:after="0"/>
        <w:jc w:val="left"/>
      </w:pPr>
      <w:r>
        <w:rPr>
          <w:b/>
        </w:rPr>
        <w:t>3.2.6 Abgewiesene Positionen</w:t>
      </w:r>
    </w:p>
    <w:p>
      <w:pPr>
        <w:keepNext/>
        <w:spacing w:before="0" w:after="0" w:line="220" w:lineRule="exact"/>
      </w:pPr>
    </w:p>
    <w:p>
      <w:pPr>
        <w:jc w:val="left"/>
      </w:pPr>
      <w:r>
        <w:t>Nicht zugesprochen: 37.000 EUR Folgemängel (nicht belegt), 13.400 EUR Verzögerungsschaden (zu hoch), 4.100 EUR Gutachterkosten.</w:t>
      </w:r>
    </w:p>
    <w:p>
      <w:pPr>
        <w:jc w:val="left"/>
      </w:pPr>
      <w:r>
        <w:rPr>
          <w:b/>
        </w:rPr>
        <w:t>Zugesprochene Gesamtforderung: 512.300 EUR</w:t>
      </w:r>
      <w:r>
        <w:t xml:space="preserve"> (102.100 + 200.000 + 95.000 + 25.000 + 90.200 Zinsen und sonstiges aufgerundet — ohne Zinsen 422.100 EUR; die Zinsberechnung wird dem Vollstreckungsverfahren überlassen).</w:t>
      </w:r>
    </w:p>
    <w:p/>
    <w:p>
      <w:pPr>
        <w:pStyle w:val="Heading2"/>
        <w:keepNext/>
        <w:spacing w:after="0"/>
      </w:pPr>
      <w:r>
        <w:rPr>
          <w:rFonts w:ascii="Times New Roman" w:hAnsi="Times New Roman"/>
        </w:rPr>
        <w:t>4 Kostenentscheidung</w:t>
      </w:r>
    </w:p>
    <w:p>
      <w:pPr>
        <w:keepNext/>
        <w:spacing w:before="0" w:after="0" w:line="220" w:lineRule="exact"/>
      </w:pPr>
    </w:p>
    <w:p>
      <w:pPr>
        <w:jc w:val="left"/>
      </w:pPr>
      <w:r>
        <w:t>§ 92 ZPO: Klägerin obsiegt zu ca. 75 % (422.100 von 684.400 EUR) → Kostenverteilung 25/75.</w:t>
      </w:r>
    </w:p>
    <w:p/>
    <w:p>
      <w:pPr>
        <w:pStyle w:val="Heading2"/>
        <w:keepNext/>
        <w:spacing w:after="0"/>
      </w:pPr>
      <w:r>
        <w:rPr>
          <w:rFonts w:ascii="Times New Roman" w:hAnsi="Times New Roman"/>
        </w:rPr>
        <w:t>5 Berufung</w:t>
      </w:r>
    </w:p>
    <w:p>
      <w:pPr>
        <w:keepNext/>
        <w:spacing w:before="0" w:after="0" w:line="220" w:lineRule="exact"/>
      </w:pPr>
    </w:p>
    <w:p>
      <w:pPr>
        <w:jc w:val="left"/>
      </w:pPr>
      <w:r>
        <w:t>Das Urteil ist nach § 511 ZPO berufungsfähig (Beschwerdesumme über 600 EUR; zuständig: OLG München, 13. Zivilsenat).</w:t>
      </w:r>
    </w:p>
    <w:p>
      <w:pPr>
        <w:jc w:val="left"/>
      </w:pPr>
      <w:r>
        <w:t>Berufungsfrist: 1 Monat ab Zustellung (§ 517 ZPO).</w:t>
      </w:r>
    </w:p>
    <w:p>
      <w:pPr>
        <w:jc w:val="left"/>
      </w:pPr>
      <w:r>
        <w:t>Berufungsbegründungsfrist: 2 Monate ab Zustellung (§ 520 Abs. 2 ZPO).</w:t>
      </w:r>
    </w:p>
    <w:p>
      <w:pPr>
        <w:jc w:val="left"/>
      </w:pPr>
      <w:r>
        <w:t>Zustellung: 05.08.2027.</w:t>
      </w:r>
    </w:p>
    <w:p>
      <w:pPr>
        <w:jc w:val="left"/>
      </w:pPr>
      <w:r>
        <w:t>Berufungsfrist: Montag, 06.09.2027 (§ 222 Abs. 1 und 2 ZPO i.V.m. §§ 187 Abs. 1, 188 Abs. 2 BGB; rechnerischer Fristablauf am Sonntag, 05.09.2027).</w:t>
      </w:r>
    </w:p>
    <w:p>
      <w:pPr>
        <w:jc w:val="left"/>
      </w:pPr>
      <w:r>
        <w:t>Berufungsbegründungsfrist: 05.10.2027.</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Saalbau Rosenheim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Saalbau Rosenheim GmbH</w:t>
    </w:r>
  </w:p>
  <w:p>
    <w:pPr>
      <w:jc w:val="left"/>
      <w:pBdr>
        <w:bottom w:val="single" w:sz="6" w:space="2" w:color="3B3F45"/>
      </w:pBdr>
    </w:pPr>
    <w:r>
      <w:rPr>
        <w:rFonts w:ascii="Times New Roman" w:hAnsi="Times New Roman"/>
        <w:color w:val="6B6B66"/>
        <w:sz w:val="16"/>
      </w:rPr>
      <w:t>Unternehmen · Az. 1 O 2188/25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