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Berufungsbegründung OLG München (Klägerin Pohlmann)</w:t>
      </w:r>
    </w:p>
    <w:p>
      <w:pPr>
        <w:pStyle w:val="Heading2"/>
      </w:pPr>
      <w:r>
        <w:rPr>
          <w:rFonts w:ascii="Times New Roman" w:hAnsi="Times New Roman"/>
        </w:rPr>
        <w:t>Schriftsatz vom 03.10.2027</w:t>
      </w:r>
    </w:p>
    <w:p>
      <w:pPr>
        <w:jc w:val="left"/>
      </w:pPr>
      <w:r>
        <w:rPr>
          <w:b/>
        </w:rPr>
        <w:t>Az. OLG München:</w:t>
      </w:r>
      <w:r>
        <w:t xml:space="preserve"> 13 U 417/26 (vorläufig; endgültig 13 U 417/27)</w:t>
      </w:r>
    </w:p>
    <w:p>
      <w:pPr>
        <w:jc w:val="left"/>
      </w:pPr>
      <w:r>
        <w:rPr>
          <w:b/>
        </w:rPr>
        <w:t>Az. Vorinstanz:</w:t>
      </w:r>
      <w:r>
        <w:t xml:space="preserve"> LG Traunstein 1 O 2188/25</w:t>
      </w:r>
    </w:p>
    <w:p>
      <w:pPr>
        <w:jc w:val="left"/>
      </w:pPr>
      <w:r>
        <w:rPr>
          <w:b/>
        </w:rPr>
        <w:t>Berufungsführerin:</w:t>
      </w:r>
      <w:r>
        <w:t xml:space="preserve"> Margarete Pohlmann (Klägerin erster Instanz)</w:t>
      </w:r>
    </w:p>
    <w:p>
      <w:pPr>
        <w:jc w:val="left"/>
      </w:pPr>
      <w:r>
        <w:rPr>
          <w:b/>
        </w:rPr>
        <w:t>Berufungsgegnerin:</w:t>
      </w:r>
      <w:r>
        <w:t xml:space="preserve"> Saalbau Rosenheim GmbH</w:t>
      </w:r>
    </w:p>
    <w:p>
      <w:pPr>
        <w:jc w:val="left"/>
      </w:pPr>
      <w:r>
        <w:rPr>
          <w:b/>
        </w:rPr>
        <w:t>Verfasser:</w:t>
      </w:r>
      <w:r>
        <w:t xml:space="preserve"> RA Dr. Mark Roosendaal</w:t>
      </w:r>
    </w:p>
    <w:p/>
    <w:p>
      <w:pPr>
        <w:pStyle w:val="Heading2"/>
        <w:keepNext/>
        <w:spacing w:after="0"/>
      </w:pPr>
      <w:r>
        <w:rPr>
          <w:rFonts w:ascii="Times New Roman" w:hAnsi="Times New Roman"/>
        </w:rPr>
        <w:t>1 Formalia und Fristen</w:t>
      </w:r>
    </w:p>
    <w:p>
      <w:pPr>
        <w:keepNext/>
        <w:spacing w:before="0" w:after="0" w:line="220" w:lineRule="exact"/>
      </w:pPr>
    </w:p>
    <w:p>
      <w:pPr>
        <w:jc w:val="left"/>
      </w:pPr>
      <w:r>
        <w:t>Die Berufung wurde mit Schriftsatz vom 04.09.2027 form- und fristgerecht eingelegt (§ 517 ZPO; Urteilszustellung 05.08.2027; Berufungsfrist bis Montag, 06.09.2027 gemäß § 222 Abs. 2 ZPO — Eingang OLG 04.09.2027).</w:t>
      </w:r>
    </w:p>
    <w:p>
      <w:pPr>
        <w:jc w:val="left"/>
      </w:pPr>
      <w:r>
        <w:t xml:space="preserve">Die Berufungsbegründungsfrist (§ 520 Abs. 2 ZPO: 2 Monate ab Zustellung) läuft bis </w:t>
      </w:r>
      <w:r>
        <w:rPr>
          <w:b/>
        </w:rPr>
        <w:t>05.10.2027</w:t>
      </w:r>
      <w:r>
        <w:t>. Mit Zustimmung des Gerichts (§ 520 Abs. 2 S. 3 ZPO) wurde eine Verlängerung um 14 Tage gewährt; Schriftsatz am 03.10.2027 eingereicht — fristgerecht.</w:t>
      </w:r>
    </w:p>
    <w:p>
      <w:pPr>
        <w:jc w:val="left"/>
      </w:pPr>
      <w:r>
        <w:rPr>
          <w:b/>
        </w:rPr>
        <w:t>Hinweis:</w:t>
      </w:r>
      <w:r>
        <w:t xml:space="preserve"> Die Gegenseite (Beklagte) hat ebenfalls Berufung eingelegt (Az. eigene Berufung: wird beim OLG verbunden unter 13 U 417/27). Die Berufungsbegründung der Beklagten erfolgte am 05.10.2027.</w:t>
      </w:r>
    </w:p>
    <w:p/>
    <w:p>
      <w:pPr>
        <w:pStyle w:val="Heading2"/>
        <w:keepNext/>
        <w:spacing w:after="0"/>
      </w:pPr>
      <w:r>
        <w:rPr>
          <w:rFonts w:ascii="Times New Roman" w:hAnsi="Times New Roman"/>
        </w:rPr>
        <w:t>2 Berufungsanträge der Klägerin</w:t>
      </w:r>
    </w:p>
    <w:p>
      <w:pPr>
        <w:keepNext/>
        <w:spacing w:before="0" w:after="0" w:line="220" w:lineRule="exact"/>
      </w:pPr>
    </w:p>
    <w:p>
      <w:pPr>
        <w:jc w:val="left"/>
      </w:pPr>
      <w:r>
        <w:t>Die Berufungsführerin (Klägerin) beantragt:</w:t>
      </w:r>
    </w:p>
    <w:p>
      <w:pPr>
        <w:jc w:val="left"/>
      </w:pPr>
      <w:r>
        <w:rPr>
          <w:b/>
        </w:rPr>
        <w:t>2.1</w:t>
      </w:r>
      <w:r>
        <w:t xml:space="preserve"> Das Urteil des Landgerichts Traunstein vom 22.07.2027, Az. 1 O 2188/25, wird aufgehoben, soweit die Klage abgewiesen wurde.</w:t>
      </w:r>
    </w:p>
    <w:p>
      <w:pPr>
        <w:jc w:val="left"/>
      </w:pPr>
      <w:r>
        <w:rPr>
          <w:b/>
        </w:rPr>
        <w:t>2.2</w:t>
      </w:r>
      <w:r>
        <w:t xml:space="preserve"> Die Beklagte wird verurteilt, an die Klägerin weitere </w:t>
      </w:r>
      <w:r>
        <w:rPr>
          <w:b/>
        </w:rPr>
        <w:t>172.100 EUR</w:t>
      </w:r>
      <w:r>
        <w:t xml:space="preserve"> (Differenz 684.400 EUR ./. 512.300 EUR) zu zahlen.</w:t>
      </w:r>
    </w:p>
    <w:p>
      <w:pPr>
        <w:jc w:val="left"/>
      </w:pPr>
      <w:r>
        <w:rPr>
          <w:b/>
        </w:rPr>
        <w:t>2.3</w:t>
      </w:r>
      <w:r>
        <w:t xml:space="preserve"> Die Kosten des Berufungsverfahrens trägt die Beklagte.</w:t>
      </w:r>
    </w:p>
    <w:p/>
    <w:p>
      <w:pPr>
        <w:pStyle w:val="Heading2"/>
        <w:keepNext/>
        <w:spacing w:after="0"/>
      </w:pPr>
      <w:r>
        <w:rPr>
          <w:rFonts w:ascii="Times New Roman" w:hAnsi="Times New Roman"/>
        </w:rPr>
        <w:t>3 Berufungsbegründung</w:t>
      </w:r>
    </w:p>
    <w:p>
      <w:pPr>
        <w:keepNext/>
        <w:spacing w:before="0" w:after="0" w:line="220" w:lineRule="exact"/>
      </w:pPr>
    </w:p>
    <w:p>
      <w:pPr>
        <w:pStyle w:val="Heading3"/>
        <w:keepNext/>
        <w:spacing w:after="0"/>
      </w:pPr>
      <w:r>
        <w:rPr>
          <w:rFonts w:ascii="Times New Roman" w:hAnsi="Times New Roman"/>
        </w:rPr>
        <w:t>3.1 Folgemängelschäden — Hotelkosten (teilweise abgewiesen)</w:t>
      </w:r>
    </w:p>
    <w:p>
      <w:pPr>
        <w:keepNext/>
        <w:spacing w:before="0" w:after="0" w:line="220" w:lineRule="exact"/>
      </w:pPr>
    </w:p>
    <w:p>
      <w:pPr>
        <w:jc w:val="left"/>
      </w:pPr>
      <w:r>
        <w:t>Das LG hat die Hotelkosten der Auslagerung nur für 5 statt 8 Wochen zuerkannt. Dies ist rechtsfehlerhaft. Die Klägerin hat für die gesamten 8 Wochen Hotelrechnungen vorgelegt (Anlage K 27); das LG hat diese ohne ausreichende Begründung nicht vollständig berücksichtigt. Der übergangene Betrag: 49.600 EUR ./. 31.150 EUR = 18.450 EUR.</w:t>
      </w:r>
    </w:p>
    <w:p>
      <w:pPr>
        <w:jc w:val="left"/>
      </w:pPr>
      <w:r>
        <w:rPr>
          <w:b/>
        </w:rPr>
        <w:t>Rüge:</w:t>
      </w:r>
      <w:r>
        <w:t xml:space="preserve"> Verstoß gegen § 286 ZPO (freie Überzeugungsbildung); das Gericht hätte alle belegten Kosten berücksichtigen müssen.</w:t>
      </w:r>
    </w:p>
    <w:p>
      <w:pPr>
        <w:pStyle w:val="Heading3"/>
        <w:keepNext/>
        <w:spacing w:after="0"/>
      </w:pPr>
      <w:r>
        <w:rPr>
          <w:rFonts w:ascii="Times New Roman" w:hAnsi="Times New Roman"/>
        </w:rPr>
        <w:t>3.2 Gutachterkosten Schadensfeststellung (vollständig abgewiesen)</w:t>
      </w:r>
    </w:p>
    <w:p>
      <w:pPr>
        <w:keepNext/>
        <w:spacing w:before="0" w:after="0" w:line="220" w:lineRule="exact"/>
      </w:pPr>
    </w:p>
    <w:p>
      <w:pPr>
        <w:jc w:val="left"/>
      </w:pPr>
      <w:r>
        <w:t>Das LG hat die Gutachterkosten Schadensfeststellung (8.400 EUR) als „Rechtsverfolgungskosten" abgewiesen. Dies ist unzutreffend. Die Kosten eines zur Schadensfeststellung notwendigen Privatgutachtens sind nach ständiger Rechtsprechung des BGH als adäquat kausaler Schaden zu ersetzen (BGH VI ZR 79/11, NJW 2011, 2509). Sie sind kein Fall des § 91 ZPO.</w:t>
      </w:r>
    </w:p>
    <w:p>
      <w:pPr>
        <w:pStyle w:val="Heading3"/>
        <w:keepNext/>
        <w:spacing w:after="0"/>
      </w:pPr>
      <w:r>
        <w:rPr>
          <w:rFonts w:ascii="Times New Roman" w:hAnsi="Times New Roman"/>
        </w:rPr>
        <w:t>3.3 Bodenaustausch — Kürzung auf 95.000 EUR</w:t>
      </w:r>
    </w:p>
    <w:p>
      <w:pPr>
        <w:keepNext/>
        <w:spacing w:before="0" w:after="0" w:line="220" w:lineRule="exact"/>
      </w:pPr>
    </w:p>
    <w:p>
      <w:pPr>
        <w:jc w:val="left"/>
      </w:pPr>
      <w:r>
        <w:t>Das LG hat den Anspruch auf Erstattung der Mehrkosten Bodenaustausch auf 95.000 EUR gekürzt, weil 17.000 EUR nicht durch Einzelrechnungen belegt seien. Diese Wertung ist fehlerhaft. Die fehlenden Belege betreffen Lohnnebenkosten des Bodenaustauschunternehmens, die durch eine Pauschalrechnung abgedeckt waren; diese wurde als Anlage K 14 in erster Instanz vorgelegt.</w:t>
      </w:r>
    </w:p>
    <w:p>
      <w:pPr>
        <w:jc w:val="left"/>
      </w:pPr>
      <w:r>
        <w:rPr>
          <w:b/>
        </w:rPr>
        <w:t>Rüge:</w:t>
      </w:r>
      <w:r>
        <w:t xml:space="preserve"> Das LG hat Anlage K 14 nicht gewürdigt (§ 286 ZPO, § 313 Abs. 3 ZPO).</w:t>
      </w:r>
    </w:p>
    <w:p>
      <w:pPr>
        <w:jc w:val="left"/>
      </w:pPr>
      <w:r>
        <w:rPr>
          <w:b/>
        </w:rPr>
        <w:t>Berufungsantrag insoweit:</w:t>
      </w:r>
      <w:r>
        <w:t xml:space="preserve"> 17.000 EUR.</w:t>
      </w:r>
    </w:p>
    <w:p>
      <w:pPr>
        <w:pStyle w:val="Heading3"/>
        <w:keepNext/>
        <w:spacing w:after="0"/>
      </w:pPr>
      <w:r>
        <w:rPr>
          <w:rFonts w:ascii="Times New Roman" w:hAnsi="Times New Roman"/>
        </w:rPr>
        <w:t>3.4 Verzögerungsschaden</w:t>
      </w:r>
    </w:p>
    <w:p>
      <w:pPr>
        <w:keepNext/>
        <w:spacing w:before="0" w:after="0" w:line="220" w:lineRule="exact"/>
      </w:pPr>
    </w:p>
    <w:p>
      <w:pPr>
        <w:jc w:val="left"/>
      </w:pPr>
      <w:r>
        <w:t>Das LG hat die Mietkosten auf 25.000 EUR statt 38.400 EUR gekürzt. Diese Kürzung ist nicht nachvollziehbar, da die Übergangswohnung nachweislich bis 31.03.2024 belegt war. Die darüber hinaus gehenden Kosten entstanden durch die Abnahmeverzögerung, nicht durch eigenes Zutun der Klägerin.</w:t>
      </w:r>
    </w:p>
    <w:p>
      <w:pPr>
        <w:jc w:val="left"/>
      </w:pPr>
      <w:r>
        <w:rPr>
          <w:b/>
        </w:rPr>
        <w:t>Rüge:</w:t>
      </w:r>
      <w:r>
        <w:t xml:space="preserve"> § 286 ZPO; unrichtige Tatsachenfeststellung.</w:t>
      </w:r>
    </w:p>
    <w:p/>
    <w:p>
      <w:pPr>
        <w:pStyle w:val="Heading2"/>
        <w:keepNext/>
        <w:spacing w:after="0"/>
      </w:pPr>
      <w:r>
        <w:rPr>
          <w:rFonts w:ascii="Times New Roman" w:hAnsi="Times New Roman"/>
        </w:rPr>
        <w:t>4 Beweisangebote Berufungsinstanz</w:t>
      </w:r>
    </w:p>
    <w:p>
      <w:pPr>
        <w:keepNext/>
        <w:spacing w:before="0" w:after="0" w:line="220" w:lineRule="exact"/>
      </w:pPr>
    </w:p>
    <w:p>
      <w:pPr>
        <w:pStyle w:val="ListBullet"/>
      </w:pPr>
      <w:r>
        <w:t>Anlage K 14 (Pauschalrechnung Bodenaustausch) — bereits in erster Instanz vorgelegt</w:t>
      </w:r>
    </w:p>
    <w:p>
      <w:pPr>
        <w:pStyle w:val="ListBullet"/>
      </w:pPr>
      <w:r>
        <w:t>Anlage BB 1: Hotelrechnungen Woche 6 bis 8 (erneut vorgelegt)</w:t>
      </w:r>
    </w:p>
    <w:p>
      <w:pPr>
        <w:pStyle w:val="ListBullet"/>
      </w:pPr>
      <w:r>
        <w:t>Anlage BB 2: BGH VI ZR 79/11 (Privatgutachten als Schadensersatz)</w:t>
      </w:r>
    </w:p>
    <w:p/>
    <w:p>
      <w:pPr>
        <w:pStyle w:val="Heading2"/>
        <w:keepNext/>
        <w:spacing w:after="0"/>
      </w:pPr>
      <w:r>
        <w:rPr>
          <w:rFonts w:ascii="Times New Roman" w:hAnsi="Times New Roman"/>
        </w:rPr>
        <w:t>5 Quellen</w:t>
      </w:r>
    </w:p>
    <w:p>
      <w:pPr>
        <w:keepNext/>
        <w:spacing w:before="0" w:after="0" w:line="220" w:lineRule="exact"/>
      </w:pPr>
    </w:p>
    <w:p>
      <w:pPr>
        <w:pStyle w:val="ListBullet"/>
      </w:pPr>
      <w:r>
        <w:t>§ 520 ZPO (Berufungsbegründung) — dejure.org/gesetze/ZPO/520.html</w:t>
      </w:r>
    </w:p>
    <w:p>
      <w:pPr>
        <w:pStyle w:val="ListBullet"/>
      </w:pPr>
      <w:r>
        <w:t>BGH VI ZR 79/11 — bundesgerichtshof.de</w:t>
      </w:r>
    </w:p>
    <w:p>
      <w:pPr>
        <w:pStyle w:val="ListBullet"/>
      </w:pPr>
      <w:r>
        <w:t>§ 286 ZPO (freie Überzeugungsbildung) — dejure.org/gesetze/ZPO/286.html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Saalbau Rosenheim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Saalbau Rosenheim GmbH</w:t>
    </w:r>
  </w:p>
  <w:p>
    <w:pPr>
      <w:jc w:val="left"/>
      <w:pBdr>
        <w:bottom w:val="single" w:sz="6" w:space="2" w:color="3B3F45"/>
      </w:pBdr>
    </w:pPr>
    <w:r>
      <w:rPr>
        <w:rFonts w:ascii="Times New Roman" w:hAnsi="Times New Roman"/>
        <w:color w:val="6B6B66"/>
        <w:sz w:val="16"/>
      </w:rPr>
      <w:t>Unternehmen · Az. OLG München: 13 U 417/26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