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Handakte Nexora Frontbank AG | 26-184-NF</w:t>
      </w:r>
    </w:p>
    <w:p>
      <w:r>
        <w:t>2026-09-22 | Landgericht Bremen | 4 O 1186/26</w:t>
      </w:r>
    </w:p>
    <w:p>
      <w:pPr>
        <w:pStyle w:val="Title"/>
      </w:pPr>
      <w:r>
        <w:t>Posteingang und Fristenkontrolle</w:t>
      </w:r>
    </w:p>
    <w:p>
      <w:pPr>
        <w:pStyle w:val="Heading1"/>
      </w:pPr>
      <w:r>
        <w:t>1. Zustellung und Weiterleitung</w:t>
      </w:r>
    </w:p>
    <w:p>
      <w:r>
        <w:t>Der Vermerk führt die Angaben zur Zustellung der Klage und zur Weitergabe an die Kanzlei zusammen. Grundlage sind die gerichtliche Verfügung vom 10. September 2026, die mitgeführten Empfangsangaben und die Verteidigungsanzeige vom heutigen Tag. Die Zeitangaben betreffen unterschiedliche Bearbeitungsschritte. Ein späterer Eingang beim Rechtsbereich oder beim Prozessbevollmächtigten ersetzt nicht den dokumentierten Empfang an der Zustellanschrift.</w:t>
      </w:r>
    </w:p>
    <w:p>
      <w:r>
        <w:t>Am 15. September 2026 um 10:24 Uhr nahm Lena Berger die Sendung am Empfang der Nexora Frontbank AG, Schottenring 18, 1010 Wien, entgegen. Der Rechtsbereich vermerkte den Eingang um 11:02 Uhr; die Unterlagen gelangten noch am selben Vormittag zu Dr. Falk Neubauer. Der Scan von Empfangsnachweis und Umschlag wurde am 16. September 2026 um 08:46 Uhr an die Kanzlei weitergeleitet. Diese Weiterleitung ist kein zusätzlicher Zustellungsvorgang.</w:t>
      </w:r>
    </w:p>
    <w:p>
      <w:r>
        <w:t>Der Papierempfangsnachweis mit der Unterschrift wird beim Posteingang in Wien aufbewahrt. Für die Aktenzuordnung sind Empfangsnachweis und Umschlag zusammenzuhalten. Eine andere Quartalskurier-Sendung darf nicht als Beleg für dieses Verfahren verwendet werden. Der Vermerk bildet die dokumentierten Angaben ab; er ersetzt weder den Originalempfangsnachweis noch eine technische Prüfung der Scanübermittlung.</w:t>
      </w:r>
    </w:p>
    <w:p>
      <w:r>
        <w:t>Die übersandte Klage datiert vom 8. September 2026 und umfasst 25 Seiten. Die bezeichneten Anlagen K1 bis K12 umfassen zusammen 75 Seiten. Hinzu kommen zwei Seiten gerichtliche Verfügung einschließlich der Empfangsangaben. Dieser Umfang von 102 Seiten betrifft die gerichtliche Eingangssendung. Später beigezogene Korrespondenz und eigene Unterlagen der Beklagten gehören nicht rückwirkend zu deren Anlagenbestand. Bei erneuter Zusammenstellung ist daher nach Herkunft und nicht allein nach dem aktuellen Gesamtumfang der Handakte abzugleichen.</w:t>
      </w:r>
    </w:p>
    <w:p>
      <w:r>
        <w:br w:type="page"/>
      </w:r>
    </w:p>
    <w:p>
      <w:pPr>
        <w:pStyle w:val="Heading1"/>
      </w:pPr>
      <w:r>
        <w:t>2. Fristen und Bearbeitungsstand</w:t>
      </w:r>
    </w:p>
    <w:p>
      <w:r>
        <w:t>Die Verfügung bestimmt wegen der Zustellung in Österreich eine Frist von einem Monat für die Anzeige der Verteidigungsbereitschaft. Ausgehend von der Zustellung am 15. September 2026 ist hierfür der 15. Oktober 2026 notiert. Für die Klageerwiderung sind die anschließend eingeräumten zwei weiteren Wochen mit dem 29. Oktober 2026 erfasst. Die beiden Fristen bleiben getrennte Einträge; die frühere Abgabe der Verteidigungsanzeige verlegt den notierten Erwiderungstermin nicht vor.</w:t>
      </w:r>
    </w:p>
    <w:p>
      <w:r>
        <w:t>Die Verteidigungsanzeige wurde am 22. September 2026 um 14:18 Uhr übermittelt. Die in der Handakte festgehaltene Eingangsbestätigung trägt die Uhrzeit 14:18:07. Für die Erledigungskontrolle ist die Bestätigung der konkreten Sendung zuzuordnen. Die Anzeige betrifft die Verteidigungsbereitschaft; sie enthält noch keine vollständige Erwiderung auf den Zahlungs- und Auskunftsvortrag. Der Termin 29. Oktober 2026 bleibt deshalb trotz des heutigen Versands offen.</w:t>
      </w:r>
    </w:p>
    <w:p>
      <w:r>
        <w:t>Bei der weiteren Bearbeitung sind die eigene Darstellung der Mandantin, die aus der Klage bekannten Unterlagen und die ergänzend vorgelegten Vertrags- und Zahlungsbelege auseinanderzuhalten. Der Entwurf der Klageerwiderung ist vor einem späteren Versand anhand der vollständigen Anlagenliste zu kontrollieren. Ein hier abgelegter Entwurf oder ein interner Arbeitsstand belegt für sich noch keine gerichtliche Übermittlung. Dieser Vermerk enthält keine Bestätigung eines Versands der Klageerwiderung.</w:t>
      </w:r>
    </w:p>
    <w:p>
      <w:r>
        <w:t>Eine abweichende gerichtliche Fristbestimmung oder eine gewährte Verlängerung liegt diesem Vermerk nicht zugrunde. Auch ein Termin zur mündlichen Verhandlung ist damit nicht dokumentiert. Die Kanzlei führt die Erwiderungsfrist weiter; eine Änderung ist erst anhand einer entsprechenden gerichtlichen Nachricht einzutragen. Rückfragen zum Papierempfangsnachweis sind über Dr. Falk Neubauer an den Wiener Posteingang zu richten, damit kein fremder Sendungsnachweis in die Verfahrensakte gelangt.</w:t>
      </w:r>
    </w:p>
    <w:p>
      <w:r>
        <w:t>Dr. Henrik Westhoff</w:t>
        <w:br/>
        <w:t>Rechtsanwalt</w:t>
        <w:br/>
        <w:t>Rademacher Westhoff Rechtsanwälte PartGmbB</w:t>
        <w:br/>
        <w:t>Am Wall 146, 28195 Bremen</w:t>
      </w:r>
    </w:p>
    <w:sectPr w:rsidR="00FC693F" w:rsidRPr="0006063C" w:rsidSect="00034616">
      <w:headerReference w:type="default" r:id="rId9"/>
      <w:footerReference w:type="default" r:id="rId10"/>
      <w:pgSz w:w="11906" w:h="16838"/>
      <w:pgMar w:top="158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Landgericht Bremen | 4 O 1186/26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Rademacher Westhoff Rechtsanwälte PartGmbB | Dr. Henrik Westhoff</w:t>
      <w:br/>
      <w:t>Am Wall 146, 28195 Bremen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69"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69"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9"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line="269"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69"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line="269"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line="269"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line="269"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line="269"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line="269"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line="269"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69"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cstheme="majorBidi"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line="269"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line="269"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269"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line="269"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line="269"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line="269"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line="269"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line="269"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line="269"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line="269"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line="269"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line="269"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line="269"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line="269"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line="269"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line="269"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line="269"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line="269"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line="269"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line="269"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Posteingang und Fristenkontrolle</dc:title>
  <dc:subject/>
  <dc:creator>Klotzkette</dc:creator>
  <cp:keywords/>
  <dc:description>generated by python-docx</dc:description>
  <cp:lastModifiedBy>Klotzkette</cp:lastModifiedBy>
  <cp:revision>1</cp:revision>
  <dcterms:created xsi:type="dcterms:W3CDTF">2026-09-22T00:00:00Z</dcterms:created>
  <dcterms:modified xsi:type="dcterms:W3CDTF">2026-09-22T00:00:00Z</dcterms:modified>
  <cp:category/>
  <dc:language>de-DE</dc:language>
</cp:coreProperties>
</file>